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68E3C" w14:textId="77777777" w:rsidR="00D2283B" w:rsidRDefault="00D2283B">
      <w:pPr>
        <w:spacing w:after="300"/>
      </w:pPr>
    </w:p>
    <w:p w14:paraId="54DB4F5D" w14:textId="77777777" w:rsidR="00D2283B" w:rsidRDefault="00EA02D1">
      <w:pPr>
        <w:spacing w:after="80"/>
        <w:jc w:val="center"/>
      </w:pPr>
      <w:r>
        <w:rPr>
          <w:b/>
          <w:bCs/>
          <w:color w:val="1B2A4A"/>
          <w:sz w:val="64"/>
          <w:szCs w:val="64"/>
        </w:rPr>
        <w:t>PROOF OF WORK</w:t>
      </w:r>
    </w:p>
    <w:p w14:paraId="7C808C22" w14:textId="511A77CB" w:rsidR="00D2283B" w:rsidRDefault="00EA02D1">
      <w:pPr>
        <w:spacing w:after="60"/>
        <w:jc w:val="center"/>
      </w:pPr>
      <w:r>
        <w:rPr>
          <w:color w:val="0D7377"/>
          <w:sz w:val="28"/>
          <w:szCs w:val="28"/>
        </w:rPr>
        <w:t>Channel Ecosystem Consultancy</w:t>
      </w:r>
    </w:p>
    <w:p w14:paraId="6A8CDD06" w14:textId="77777777" w:rsidR="00D2283B" w:rsidRDefault="00EA02D1">
      <w:pPr>
        <w:spacing w:after="200"/>
        <w:jc w:val="center"/>
      </w:pPr>
      <w:r>
        <w:rPr>
          <w:i/>
          <w:iCs/>
          <w:color w:val="888888"/>
          <w:sz w:val="22"/>
          <w:szCs w:val="22"/>
        </w:rPr>
        <w:t>Documented outcomes from real activation engagements</w:t>
      </w:r>
    </w:p>
    <w:p w14:paraId="390825F1" w14:textId="77777777" w:rsidR="00D2283B" w:rsidRDefault="00D2283B">
      <w:pPr>
        <w:pBdr>
          <w:bottom w:val="single" w:sz="6" w:space="1" w:color="0D7377"/>
        </w:pBdr>
        <w:spacing w:before="120" w:after="120"/>
      </w:pPr>
    </w:p>
    <w:p w14:paraId="08A46492" w14:textId="77777777" w:rsidR="00D2283B" w:rsidRDefault="00D2283B">
      <w:pPr>
        <w:spacing w:after="100"/>
      </w:pPr>
    </w:p>
    <w:p w14:paraId="25B2FC99" w14:textId="77777777" w:rsidR="00D2283B" w:rsidRDefault="00EA02D1">
      <w:pPr>
        <w:spacing w:after="60"/>
        <w:jc w:val="center"/>
      </w:pPr>
      <w:r>
        <w:rPr>
          <w:b/>
          <w:bCs/>
          <w:color w:val="1B2A4A"/>
          <w:sz w:val="24"/>
          <w:szCs w:val="24"/>
        </w:rPr>
        <w:t>Two engagements. Two broken programmes. Dramatically different outcomes.</w:t>
      </w:r>
    </w:p>
    <w:p w14:paraId="5E913EF7" w14:textId="77777777" w:rsidR="00D2283B" w:rsidRDefault="00D2283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D2283B" w14:paraId="15B73BA3"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1B2A4A"/>
            <w:tcMar>
              <w:top w:w="200" w:type="dxa"/>
              <w:left w:w="160" w:type="dxa"/>
              <w:bottom w:w="200" w:type="dxa"/>
              <w:right w:w="160" w:type="dxa"/>
            </w:tcMar>
          </w:tcPr>
          <w:p w14:paraId="05296B37" w14:textId="77777777" w:rsidR="00D2283B" w:rsidRDefault="00EA02D1">
            <w:pPr>
              <w:spacing w:after="40"/>
              <w:jc w:val="center"/>
            </w:pPr>
            <w:r>
              <w:rPr>
                <w:b/>
                <w:bCs/>
                <w:color w:val="FFFFFF"/>
                <w:sz w:val="64"/>
                <w:szCs w:val="64"/>
              </w:rPr>
              <w:t>3x</w:t>
            </w:r>
          </w:p>
          <w:p w14:paraId="2102DC86" w14:textId="77777777" w:rsidR="00D2283B" w:rsidRDefault="00EA02D1">
            <w:pPr>
              <w:spacing w:after="20"/>
              <w:jc w:val="center"/>
            </w:pPr>
            <w:r>
              <w:rPr>
                <w:b/>
                <w:bCs/>
                <w:color w:val="FFFFFF"/>
                <w:sz w:val="22"/>
                <w:szCs w:val="22"/>
              </w:rPr>
              <w:t>Revenue Multiplied</w:t>
            </w:r>
          </w:p>
          <w:p w14:paraId="05D2B55C" w14:textId="77777777" w:rsidR="00D2283B" w:rsidRDefault="00EA02D1">
            <w:pPr>
              <w:jc w:val="center"/>
            </w:pPr>
            <w:r>
              <w:rPr>
                <w:i/>
                <w:iCs/>
                <w:color w:val="D0E8EA"/>
                <w:sz w:val="18"/>
                <w:szCs w:val="18"/>
              </w:rPr>
              <w:t>$3M → $9M in 24 months</w:t>
            </w:r>
          </w:p>
        </w:tc>
        <w:tc>
          <w:tcPr>
            <w:tcW w:w="2340" w:type="dxa"/>
            <w:tcBorders>
              <w:top w:val="none" w:sz="0" w:space="0" w:color="FFFFFF"/>
              <w:left w:val="none" w:sz="0" w:space="0" w:color="FFFFFF"/>
              <w:bottom w:val="none" w:sz="0" w:space="0" w:color="FFFFFF"/>
              <w:right w:val="none" w:sz="0" w:space="0" w:color="FFFFFF"/>
            </w:tcBorders>
            <w:shd w:val="clear" w:color="auto" w:fill="0D7377"/>
            <w:tcMar>
              <w:top w:w="200" w:type="dxa"/>
              <w:left w:w="160" w:type="dxa"/>
              <w:bottom w:w="200" w:type="dxa"/>
              <w:right w:w="160" w:type="dxa"/>
            </w:tcMar>
          </w:tcPr>
          <w:p w14:paraId="7F843221" w14:textId="77777777" w:rsidR="00D2283B" w:rsidRDefault="00EA02D1">
            <w:pPr>
              <w:spacing w:after="40"/>
              <w:jc w:val="center"/>
            </w:pPr>
            <w:r>
              <w:rPr>
                <w:b/>
                <w:bCs/>
                <w:color w:val="FFFFFF"/>
                <w:sz w:val="64"/>
                <w:szCs w:val="64"/>
              </w:rPr>
              <w:t>30</w:t>
            </w:r>
          </w:p>
          <w:p w14:paraId="0D842689" w14:textId="77777777" w:rsidR="00D2283B" w:rsidRDefault="00EA02D1">
            <w:pPr>
              <w:spacing w:after="20"/>
              <w:jc w:val="center"/>
            </w:pPr>
            <w:r>
              <w:rPr>
                <w:b/>
                <w:bCs/>
                <w:color w:val="FFFFFF"/>
                <w:sz w:val="22"/>
                <w:szCs w:val="22"/>
              </w:rPr>
              <w:t>Days to Pipeline</w:t>
            </w:r>
          </w:p>
          <w:p w14:paraId="21C703B4" w14:textId="77777777" w:rsidR="00D2283B" w:rsidRDefault="00EA02D1">
            <w:pPr>
              <w:jc w:val="center"/>
            </w:pPr>
            <w:r>
              <w:rPr>
                <w:i/>
                <w:iCs/>
                <w:color w:val="D0E8EA"/>
                <w:sz w:val="18"/>
                <w:szCs w:val="18"/>
              </w:rPr>
              <w:t>First activation moving in &lt;30 days</w:t>
            </w:r>
          </w:p>
        </w:tc>
        <w:tc>
          <w:tcPr>
            <w:tcW w:w="2340" w:type="dxa"/>
            <w:tcBorders>
              <w:top w:val="none" w:sz="0" w:space="0" w:color="FFFFFF"/>
              <w:left w:val="none" w:sz="0" w:space="0" w:color="FFFFFF"/>
              <w:bottom w:val="none" w:sz="0" w:space="0" w:color="FFFFFF"/>
              <w:right w:val="none" w:sz="0" w:space="0" w:color="FFFFFF"/>
            </w:tcBorders>
            <w:shd w:val="clear" w:color="auto" w:fill="1B2A4A"/>
            <w:tcMar>
              <w:top w:w="200" w:type="dxa"/>
              <w:left w:w="160" w:type="dxa"/>
              <w:bottom w:w="200" w:type="dxa"/>
              <w:right w:w="160" w:type="dxa"/>
            </w:tcMar>
          </w:tcPr>
          <w:p w14:paraId="6AE5D120" w14:textId="77777777" w:rsidR="00D2283B" w:rsidRDefault="00EA02D1">
            <w:pPr>
              <w:spacing w:after="40"/>
              <w:jc w:val="center"/>
            </w:pPr>
            <w:r>
              <w:rPr>
                <w:b/>
                <w:bCs/>
                <w:color w:val="FFFFFF"/>
                <w:sz w:val="64"/>
                <w:szCs w:val="64"/>
              </w:rPr>
              <w:t>$5M</w:t>
            </w:r>
          </w:p>
          <w:p w14:paraId="0D94B66F" w14:textId="77777777" w:rsidR="00D2283B" w:rsidRDefault="00EA02D1">
            <w:pPr>
              <w:spacing w:after="20"/>
              <w:jc w:val="center"/>
            </w:pPr>
            <w:r>
              <w:rPr>
                <w:b/>
                <w:bCs/>
                <w:color w:val="FFFFFF"/>
                <w:sz w:val="22"/>
                <w:szCs w:val="22"/>
              </w:rPr>
              <w:t>ISV-Influenced Revenue</w:t>
            </w:r>
          </w:p>
          <w:p w14:paraId="1D2772E7" w14:textId="77777777" w:rsidR="00D2283B" w:rsidRDefault="00EA02D1">
            <w:pPr>
              <w:jc w:val="center"/>
            </w:pPr>
            <w:r>
              <w:rPr>
                <w:i/>
                <w:iCs/>
                <w:color w:val="D0E8EA"/>
                <w:sz w:val="18"/>
                <w:szCs w:val="18"/>
              </w:rPr>
              <w:t>Year 2 from a zero-base programme</w:t>
            </w:r>
          </w:p>
        </w:tc>
        <w:tc>
          <w:tcPr>
            <w:tcW w:w="2340" w:type="dxa"/>
            <w:tcBorders>
              <w:top w:val="none" w:sz="0" w:space="0" w:color="FFFFFF"/>
              <w:left w:val="none" w:sz="0" w:space="0" w:color="FFFFFF"/>
              <w:bottom w:val="none" w:sz="0" w:space="0" w:color="FFFFFF"/>
              <w:right w:val="none" w:sz="0" w:space="0" w:color="FFFFFF"/>
            </w:tcBorders>
            <w:shd w:val="clear" w:color="auto" w:fill="0D7377"/>
            <w:tcMar>
              <w:top w:w="200" w:type="dxa"/>
              <w:left w:w="160" w:type="dxa"/>
              <w:bottom w:w="200" w:type="dxa"/>
              <w:right w:w="160" w:type="dxa"/>
            </w:tcMar>
          </w:tcPr>
          <w:p w14:paraId="0D6FD2B3" w14:textId="77777777" w:rsidR="00D2283B" w:rsidRDefault="00EA02D1">
            <w:pPr>
              <w:spacing w:after="40"/>
              <w:jc w:val="center"/>
            </w:pPr>
            <w:r>
              <w:rPr>
                <w:b/>
                <w:bCs/>
                <w:color w:val="FFFFFF"/>
                <w:sz w:val="64"/>
                <w:szCs w:val="64"/>
              </w:rPr>
              <w:t>35+</w:t>
            </w:r>
          </w:p>
          <w:p w14:paraId="15F2DB25" w14:textId="77777777" w:rsidR="00D2283B" w:rsidRDefault="00EA02D1">
            <w:pPr>
              <w:spacing w:after="20"/>
              <w:jc w:val="center"/>
            </w:pPr>
            <w:r>
              <w:rPr>
                <w:b/>
                <w:bCs/>
                <w:color w:val="FFFFFF"/>
                <w:sz w:val="22"/>
                <w:szCs w:val="22"/>
              </w:rPr>
              <w:t>ISVs Activated</w:t>
            </w:r>
          </w:p>
          <w:p w14:paraId="20CDE42C" w14:textId="77777777" w:rsidR="00D2283B" w:rsidRDefault="00EA02D1">
            <w:pPr>
              <w:jc w:val="center"/>
            </w:pPr>
            <w:r>
              <w:rPr>
                <w:i/>
                <w:iCs/>
                <w:color w:val="D0E8EA"/>
                <w:sz w:val="18"/>
                <w:szCs w:val="18"/>
              </w:rPr>
              <w:t>Built from scratch in under 12 months</w:t>
            </w:r>
          </w:p>
        </w:tc>
      </w:tr>
    </w:tbl>
    <w:p w14:paraId="317792EA" w14:textId="77777777" w:rsidR="00D2283B" w:rsidRDefault="00D2283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83B" w14:paraId="7E79CAC6" w14:textId="77777777">
        <w:tblPrEx>
          <w:tblCellMar>
            <w:top w:w="0" w:type="dxa"/>
            <w:bottom w:w="0" w:type="dxa"/>
          </w:tblCellMar>
        </w:tblPrEx>
        <w:tc>
          <w:tcPr>
            <w:tcW w:w="9360" w:type="dxa"/>
            <w:tcBorders>
              <w:top w:val="single" w:sz="6" w:space="0" w:color="0D7377"/>
              <w:left w:val="single" w:sz="10" w:space="0" w:color="0D7377"/>
              <w:bottom w:val="single" w:sz="1" w:space="0" w:color="CCCCCC"/>
              <w:right w:val="single" w:sz="1" w:space="0" w:color="CCCCCC"/>
            </w:tcBorders>
            <w:shd w:val="clear" w:color="auto" w:fill="EBF4F5"/>
            <w:tcMar>
              <w:top w:w="100" w:type="dxa"/>
              <w:left w:w="140" w:type="dxa"/>
              <w:bottom w:w="100" w:type="dxa"/>
              <w:right w:w="140" w:type="dxa"/>
            </w:tcMar>
          </w:tcPr>
          <w:p w14:paraId="534BE569" w14:textId="77777777" w:rsidR="00D2283B" w:rsidRDefault="00EA02D1">
            <w:pPr>
              <w:spacing w:after="40"/>
            </w:pPr>
            <w:r>
              <w:rPr>
                <w:b/>
                <w:bCs/>
                <w:color w:val="0D7377"/>
              </w:rPr>
              <w:t>HOW TO USE THIS DOCUMENT</w:t>
            </w:r>
          </w:p>
          <w:p w14:paraId="21ACD526" w14:textId="77777777" w:rsidR="00D2283B" w:rsidRDefault="00EA02D1">
            <w:r>
              <w:t>These are real outcomes from real engagements. Where a company name is pending permission to use publicly, it is referenced by sector and size. Each proof point is structured in the same format: Situation → What Was Done → Outcome — so prospects can see not just what was achieved, but how. Full case studies, reference calls, and named testimonials are available on request.</w:t>
            </w:r>
          </w:p>
        </w:tc>
      </w:tr>
    </w:tbl>
    <w:p w14:paraId="21650212" w14:textId="77777777" w:rsidR="00D2283B" w:rsidRDefault="00EA02D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83B" w14:paraId="04B6E6E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D7377"/>
            <w:tcMar>
              <w:top w:w="80" w:type="dxa"/>
              <w:left w:w="140" w:type="dxa"/>
              <w:bottom w:w="80" w:type="dxa"/>
              <w:right w:w="140" w:type="dxa"/>
            </w:tcMar>
          </w:tcPr>
          <w:p w14:paraId="3B0D34FF" w14:textId="6A0BC603" w:rsidR="00D2283B" w:rsidRDefault="00EA02D1">
            <w:r>
              <w:rPr>
                <w:b/>
                <w:bCs/>
                <w:color w:val="FFFFFF"/>
                <w:sz w:val="18"/>
                <w:szCs w:val="18"/>
              </w:rPr>
              <w:lastRenderedPageBreak/>
              <w:t xml:space="preserve">PARTNER </w:t>
            </w:r>
            <w:proofErr w:type="gramStart"/>
            <w:r>
              <w:rPr>
                <w:b/>
                <w:bCs/>
                <w:color w:val="FFFFFF"/>
                <w:sz w:val="18"/>
                <w:szCs w:val="18"/>
              </w:rPr>
              <w:t>REACTIVATION  ·</w:t>
            </w:r>
            <w:proofErr w:type="gramEnd"/>
            <w:r>
              <w:rPr>
                <w:b/>
                <w:bCs/>
                <w:color w:val="FFFFFF"/>
                <w:sz w:val="18"/>
                <w:szCs w:val="18"/>
              </w:rPr>
              <w:t xml:space="preserve">  TECHNOLOGY</w:t>
            </w:r>
            <w:r>
              <w:rPr>
                <w:b/>
                <w:bCs/>
                <w:color w:val="FFFFFF"/>
                <w:sz w:val="18"/>
                <w:szCs w:val="18"/>
              </w:rPr>
              <w:t xml:space="preserve"> SECTOR</w:t>
            </w:r>
          </w:p>
        </w:tc>
      </w:tr>
    </w:tbl>
    <w:p w14:paraId="77C57566" w14:textId="77777777" w:rsidR="00D2283B" w:rsidRDefault="00D2283B">
      <w:pPr>
        <w:spacing w:after="60"/>
      </w:pPr>
    </w:p>
    <w:p w14:paraId="6D35B473" w14:textId="77777777" w:rsidR="00D2283B" w:rsidRDefault="00EA02D1">
      <w:pPr>
        <w:pStyle w:val="Heading1"/>
        <w:shd w:val="clear" w:color="auto" w:fill="1B2A4A"/>
        <w:ind w:left="140" w:right="140"/>
      </w:pPr>
      <w:r>
        <w:t>From $3M to $9M: Reactivating a Declining Strategic Partner</w:t>
      </w:r>
    </w:p>
    <w:p w14:paraId="40589D48" w14:textId="77777777" w:rsidR="00D2283B" w:rsidRDefault="00D228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D2283B" w14:paraId="0AD4018A"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1B2A4A"/>
            <w:tcMar>
              <w:top w:w="200" w:type="dxa"/>
              <w:left w:w="160" w:type="dxa"/>
              <w:bottom w:w="200" w:type="dxa"/>
              <w:right w:w="160" w:type="dxa"/>
            </w:tcMar>
          </w:tcPr>
          <w:p w14:paraId="2296B697" w14:textId="77777777" w:rsidR="00D2283B" w:rsidRDefault="00EA02D1">
            <w:pPr>
              <w:spacing w:after="40"/>
              <w:jc w:val="center"/>
            </w:pPr>
            <w:r>
              <w:rPr>
                <w:b/>
                <w:bCs/>
                <w:color w:val="FFFFFF"/>
                <w:sz w:val="64"/>
                <w:szCs w:val="64"/>
              </w:rPr>
              <w:t>$3M</w:t>
            </w:r>
          </w:p>
          <w:p w14:paraId="0AE773C2" w14:textId="77777777" w:rsidR="00D2283B" w:rsidRDefault="00EA02D1">
            <w:pPr>
              <w:spacing w:after="20"/>
              <w:jc w:val="center"/>
            </w:pPr>
            <w:r>
              <w:rPr>
                <w:b/>
                <w:bCs/>
                <w:color w:val="FFFFFF"/>
                <w:sz w:val="22"/>
                <w:szCs w:val="22"/>
              </w:rPr>
              <w:t>Revenue at Start</w:t>
            </w:r>
          </w:p>
          <w:p w14:paraId="6C509617" w14:textId="77777777" w:rsidR="00D2283B" w:rsidRDefault="00EA02D1">
            <w:pPr>
              <w:jc w:val="center"/>
            </w:pPr>
            <w:r>
              <w:rPr>
                <w:i/>
                <w:iCs/>
                <w:color w:val="D0E8EA"/>
                <w:sz w:val="18"/>
                <w:szCs w:val="18"/>
              </w:rPr>
              <w:t>Down from $5M peak</w:t>
            </w:r>
          </w:p>
        </w:tc>
        <w:tc>
          <w:tcPr>
            <w:tcW w:w="2340" w:type="dxa"/>
            <w:tcBorders>
              <w:top w:val="none" w:sz="0" w:space="0" w:color="FFFFFF"/>
              <w:left w:val="none" w:sz="0" w:space="0" w:color="FFFFFF"/>
              <w:bottom w:val="none" w:sz="0" w:space="0" w:color="FFFFFF"/>
              <w:right w:val="none" w:sz="0" w:space="0" w:color="FFFFFF"/>
            </w:tcBorders>
            <w:shd w:val="clear" w:color="auto" w:fill="0D7377"/>
            <w:tcMar>
              <w:top w:w="200" w:type="dxa"/>
              <w:left w:w="160" w:type="dxa"/>
              <w:bottom w:w="200" w:type="dxa"/>
              <w:right w:w="160" w:type="dxa"/>
            </w:tcMar>
          </w:tcPr>
          <w:p w14:paraId="6A9AEE88" w14:textId="77777777" w:rsidR="00D2283B" w:rsidRDefault="00EA02D1">
            <w:pPr>
              <w:spacing w:after="40"/>
              <w:jc w:val="center"/>
            </w:pPr>
            <w:r>
              <w:rPr>
                <w:b/>
                <w:bCs/>
                <w:color w:val="FFFFFF"/>
                <w:sz w:val="64"/>
                <w:szCs w:val="64"/>
              </w:rPr>
              <w:t>$9M</w:t>
            </w:r>
          </w:p>
          <w:p w14:paraId="54BDD31D" w14:textId="77777777" w:rsidR="00D2283B" w:rsidRDefault="00EA02D1">
            <w:pPr>
              <w:spacing w:after="20"/>
              <w:jc w:val="center"/>
            </w:pPr>
            <w:r>
              <w:rPr>
                <w:b/>
                <w:bCs/>
                <w:color w:val="FFFFFF"/>
                <w:sz w:val="22"/>
                <w:szCs w:val="22"/>
              </w:rPr>
              <w:t>Revenue at 24 Months</w:t>
            </w:r>
          </w:p>
          <w:p w14:paraId="1158D51B" w14:textId="77777777" w:rsidR="00D2283B" w:rsidRDefault="00EA02D1">
            <w:pPr>
              <w:jc w:val="center"/>
            </w:pPr>
            <w:r>
              <w:rPr>
                <w:i/>
                <w:iCs/>
                <w:color w:val="D0E8EA"/>
                <w:sz w:val="18"/>
                <w:szCs w:val="18"/>
              </w:rPr>
              <w:t>3x growth from activation</w:t>
            </w:r>
          </w:p>
        </w:tc>
        <w:tc>
          <w:tcPr>
            <w:tcW w:w="2340" w:type="dxa"/>
            <w:tcBorders>
              <w:top w:val="none" w:sz="0" w:space="0" w:color="FFFFFF"/>
              <w:left w:val="none" w:sz="0" w:space="0" w:color="FFFFFF"/>
              <w:bottom w:val="none" w:sz="0" w:space="0" w:color="FFFFFF"/>
              <w:right w:val="none" w:sz="0" w:space="0" w:color="FFFFFF"/>
            </w:tcBorders>
            <w:shd w:val="clear" w:color="auto" w:fill="1B2A4A"/>
            <w:tcMar>
              <w:top w:w="200" w:type="dxa"/>
              <w:left w:w="160" w:type="dxa"/>
              <w:bottom w:w="200" w:type="dxa"/>
              <w:right w:w="160" w:type="dxa"/>
            </w:tcMar>
          </w:tcPr>
          <w:p w14:paraId="17F430EC" w14:textId="77777777" w:rsidR="00D2283B" w:rsidRDefault="00EA02D1">
            <w:pPr>
              <w:spacing w:after="40"/>
              <w:jc w:val="center"/>
            </w:pPr>
            <w:r>
              <w:rPr>
                <w:b/>
                <w:bCs/>
                <w:color w:val="FFFFFF"/>
                <w:sz w:val="64"/>
                <w:szCs w:val="64"/>
              </w:rPr>
              <w:t>&lt;30</w:t>
            </w:r>
          </w:p>
          <w:p w14:paraId="0E05857C" w14:textId="77777777" w:rsidR="00D2283B" w:rsidRDefault="00EA02D1">
            <w:pPr>
              <w:spacing w:after="20"/>
              <w:jc w:val="center"/>
            </w:pPr>
            <w:r>
              <w:rPr>
                <w:b/>
                <w:bCs/>
                <w:color w:val="FFFFFF"/>
                <w:sz w:val="22"/>
                <w:szCs w:val="22"/>
              </w:rPr>
              <w:t>Days to First Pipeline</w:t>
            </w:r>
          </w:p>
          <w:p w14:paraId="04DE9EEC" w14:textId="77777777" w:rsidR="00D2283B" w:rsidRDefault="00EA02D1">
            <w:pPr>
              <w:jc w:val="center"/>
            </w:pPr>
            <w:r>
              <w:rPr>
                <w:i/>
                <w:iCs/>
                <w:color w:val="D0E8EA"/>
                <w:sz w:val="18"/>
                <w:szCs w:val="18"/>
              </w:rPr>
              <w:t>Momentum within first month</w:t>
            </w:r>
          </w:p>
        </w:tc>
        <w:tc>
          <w:tcPr>
            <w:tcW w:w="2340" w:type="dxa"/>
            <w:tcBorders>
              <w:top w:val="none" w:sz="0" w:space="0" w:color="FFFFFF"/>
              <w:left w:val="none" w:sz="0" w:space="0" w:color="FFFFFF"/>
              <w:bottom w:val="none" w:sz="0" w:space="0" w:color="FFFFFF"/>
              <w:right w:val="none" w:sz="0" w:space="0" w:color="FFFFFF"/>
            </w:tcBorders>
            <w:shd w:val="clear" w:color="auto" w:fill="0D7377"/>
            <w:tcMar>
              <w:top w:w="200" w:type="dxa"/>
              <w:left w:w="160" w:type="dxa"/>
              <w:bottom w:w="200" w:type="dxa"/>
              <w:right w:w="160" w:type="dxa"/>
            </w:tcMar>
          </w:tcPr>
          <w:p w14:paraId="6B83720A" w14:textId="77777777" w:rsidR="00D2283B" w:rsidRDefault="00EA02D1">
            <w:pPr>
              <w:spacing w:after="40"/>
              <w:jc w:val="center"/>
            </w:pPr>
            <w:r>
              <w:rPr>
                <w:b/>
                <w:bCs/>
                <w:color w:val="FFFFFF"/>
                <w:sz w:val="64"/>
                <w:szCs w:val="64"/>
              </w:rPr>
              <w:t>2yrs</w:t>
            </w:r>
          </w:p>
          <w:p w14:paraId="2CBACD37" w14:textId="77777777" w:rsidR="00D2283B" w:rsidRDefault="00EA02D1">
            <w:pPr>
              <w:spacing w:after="20"/>
              <w:jc w:val="center"/>
            </w:pPr>
            <w:r>
              <w:rPr>
                <w:b/>
                <w:bCs/>
                <w:color w:val="FFFFFF"/>
                <w:sz w:val="22"/>
                <w:szCs w:val="22"/>
              </w:rPr>
              <w:t>Engagement Duration</w:t>
            </w:r>
          </w:p>
          <w:p w14:paraId="155F79E5" w14:textId="77777777" w:rsidR="00D2283B" w:rsidRDefault="00EA02D1">
            <w:pPr>
              <w:jc w:val="center"/>
            </w:pPr>
            <w:r>
              <w:rPr>
                <w:i/>
                <w:iCs/>
                <w:color w:val="D0E8EA"/>
                <w:sz w:val="18"/>
                <w:szCs w:val="18"/>
              </w:rPr>
              <w:t>Sustained programme</w:t>
            </w:r>
          </w:p>
        </w:tc>
      </w:tr>
    </w:tbl>
    <w:p w14:paraId="024BB938" w14:textId="77777777" w:rsidR="00D2283B" w:rsidRDefault="00D2283B">
      <w:pPr>
        <w:spacing w:after="100"/>
      </w:pPr>
    </w:p>
    <w:p w14:paraId="2E0D41A8" w14:textId="77777777" w:rsidR="00D2283B" w:rsidRDefault="00EA02D1">
      <w:pPr>
        <w:pStyle w:val="Heading2"/>
        <w:pBdr>
          <w:left w:val="single" w:sz="14" w:space="8" w:color="0D7377"/>
        </w:pBdr>
        <w:ind w:left="160"/>
      </w:pPr>
      <w:r>
        <w:t>The Situation</w:t>
      </w:r>
    </w:p>
    <w:p w14:paraId="4D9C993B" w14:textId="77777777" w:rsidR="00D2283B" w:rsidRDefault="00EA02D1">
      <w:pPr>
        <w:spacing w:before="60" w:after="80"/>
      </w:pPr>
      <w:r>
        <w:t>A major technology distribution partner — one of the most strategically significant in the vendor's channel — had seen revenue drop from $5M to $3M. Market share was declining. The relationship had drifted: no structured business planning, unresolved discount and MDF disputes, and no clear joint go-to-market. The partner's sales teams had quietly started pushing competitor solutions where the path of least resistance was easier.</w:t>
      </w:r>
    </w:p>
    <w:p w14:paraId="0BAF5D0E" w14:textId="77777777" w:rsidR="00D2283B" w:rsidRDefault="00D2283B">
      <w:pPr>
        <w:spacing w:after="60"/>
      </w:pPr>
    </w:p>
    <w:p w14:paraId="619195C9" w14:textId="77777777" w:rsidR="00D2283B" w:rsidRDefault="00EA02D1">
      <w:pPr>
        <w:spacing w:before="60" w:after="80"/>
      </w:pPr>
      <w:r>
        <w:t>This was not a relationship that had failed — it was a relationship that had been neglected. The difference matters: neglect is fixable. Failure often isn't.</w:t>
      </w:r>
    </w:p>
    <w:p w14:paraId="292C2699" w14:textId="77777777" w:rsidR="00D2283B" w:rsidRDefault="00D2283B">
      <w:pPr>
        <w:spacing w:after="80"/>
      </w:pPr>
    </w:p>
    <w:p w14:paraId="1DD1889C" w14:textId="77777777" w:rsidR="00D2283B" w:rsidRDefault="00EA02D1">
      <w:pPr>
        <w:pStyle w:val="Heading2"/>
        <w:pBdr>
          <w:left w:val="single" w:sz="14" w:space="8" w:color="0D7377"/>
        </w:pBdr>
        <w:ind w:left="160"/>
      </w:pPr>
      <w:r>
        <w:t>What Was Done</w:t>
      </w:r>
    </w:p>
    <w:p w14:paraId="0A729806" w14:textId="77777777" w:rsidR="00D2283B" w:rsidRDefault="00D2283B">
      <w:pPr>
        <w:spacing w:after="40"/>
      </w:pPr>
    </w:p>
    <w:p w14:paraId="693EDF5D" w14:textId="77777777" w:rsidR="00D2283B" w:rsidRDefault="00EA02D1">
      <w:pPr>
        <w:spacing w:before="160" w:after="60"/>
      </w:pPr>
      <w:r>
        <w:rPr>
          <w:b/>
          <w:bCs/>
          <w:color w:val="0D7377"/>
          <w:sz w:val="21"/>
          <w:szCs w:val="21"/>
        </w:rPr>
        <w:t>Phase 1 — Executive Diagnosis (Week 1–2)</w:t>
      </w:r>
    </w:p>
    <w:p w14:paraId="2C0BF40A" w14:textId="77777777" w:rsidR="00D2283B" w:rsidRDefault="00EA02D1">
      <w:pPr>
        <w:pStyle w:val="ListParagraph"/>
        <w:numPr>
          <w:ilvl w:val="0"/>
          <w:numId w:val="2"/>
        </w:numPr>
        <w:spacing w:before="40" w:after="60"/>
      </w:pPr>
      <w:r>
        <w:t>Sat down with the partner's executive team to surface their actual business requirements — not assumptions about what they needed, but what they told us directly.</w:t>
      </w:r>
    </w:p>
    <w:p w14:paraId="619DE3C5" w14:textId="77777777" w:rsidR="00D2283B" w:rsidRDefault="00EA02D1">
      <w:pPr>
        <w:pStyle w:val="ListParagraph"/>
        <w:numPr>
          <w:ilvl w:val="0"/>
          <w:numId w:val="2"/>
        </w:numPr>
        <w:spacing w:before="40" w:after="60"/>
      </w:pPr>
      <w:r>
        <w:t>Ran a structured Voice of Partner session: what was working, what had driven the $3M, the most recent wins and why they'd been won — and critically, what had caused the decline.</w:t>
      </w:r>
    </w:p>
    <w:p w14:paraId="0137E8FE" w14:textId="77777777" w:rsidR="00D2283B" w:rsidRDefault="00EA02D1">
      <w:pPr>
        <w:pStyle w:val="ListParagraph"/>
        <w:numPr>
          <w:ilvl w:val="0"/>
          <w:numId w:val="2"/>
        </w:numPr>
        <w:spacing w:before="40" w:after="60"/>
      </w:pPr>
      <w:r>
        <w:t>Surfaced the specific friction points: discount structure misalignment, MDF process complexity, and a perception that the vendor's sales team wasn't accessible or collaborative.</w:t>
      </w:r>
    </w:p>
    <w:p w14:paraId="58F20561" w14:textId="77777777" w:rsidR="00D2283B" w:rsidRDefault="00EA02D1">
      <w:pPr>
        <w:pStyle w:val="ListParagraph"/>
        <w:numPr>
          <w:ilvl w:val="0"/>
          <w:numId w:val="2"/>
        </w:numPr>
        <w:spacing w:before="40" w:after="60"/>
      </w:pPr>
      <w:r>
        <w:t>Did not arrive with a solution. Arrived with questions. The diagnosis came first.</w:t>
      </w:r>
    </w:p>
    <w:p w14:paraId="57C5416A" w14:textId="77777777" w:rsidR="00D2283B" w:rsidRDefault="00D2283B">
      <w:pPr>
        <w:spacing w:after="60"/>
      </w:pPr>
    </w:p>
    <w:p w14:paraId="456B6962" w14:textId="77777777" w:rsidR="00D2283B" w:rsidRDefault="00EA02D1">
      <w:pPr>
        <w:spacing w:before="160" w:after="60"/>
      </w:pPr>
      <w:r>
        <w:rPr>
          <w:b/>
          <w:bCs/>
          <w:color w:val="0D7377"/>
          <w:sz w:val="21"/>
          <w:szCs w:val="21"/>
        </w:rPr>
        <w:t>Phase 2 — Business Plan &amp; 30/60/90 Activation Plan</w:t>
      </w:r>
    </w:p>
    <w:p w14:paraId="44B6A154" w14:textId="77777777" w:rsidR="00D2283B" w:rsidRDefault="00EA02D1">
      <w:pPr>
        <w:pStyle w:val="ListParagraph"/>
        <w:numPr>
          <w:ilvl w:val="0"/>
          <w:numId w:val="2"/>
        </w:numPr>
        <w:spacing w:before="40" w:after="60"/>
      </w:pPr>
      <w:r>
        <w:t>Built a joint business plan: agreed must-win accounts, growth targets, and a clear articulation of where the two organisations could create genuine combined value.</w:t>
      </w:r>
    </w:p>
    <w:p w14:paraId="2D57ED5B" w14:textId="77777777" w:rsidR="00D2283B" w:rsidRDefault="00EA02D1">
      <w:pPr>
        <w:pStyle w:val="ListParagraph"/>
        <w:numPr>
          <w:ilvl w:val="0"/>
          <w:numId w:val="2"/>
        </w:numPr>
        <w:spacing w:before="40" w:after="60"/>
      </w:pPr>
      <w:r>
        <w:t>Identified what was not being done — the gaps in enablement, incentive alignment, and joint sales engagement — and built specific recommendations for each.</w:t>
      </w:r>
    </w:p>
    <w:p w14:paraId="21398DBC" w14:textId="77777777" w:rsidR="00D2283B" w:rsidRDefault="00EA02D1">
      <w:pPr>
        <w:pStyle w:val="ListParagraph"/>
        <w:numPr>
          <w:ilvl w:val="0"/>
          <w:numId w:val="2"/>
        </w:numPr>
        <w:spacing w:before="40" w:after="60"/>
      </w:pPr>
      <w:r>
        <w:t>Co-created a 30/60/</w:t>
      </w:r>
      <w:proofErr w:type="gramStart"/>
      <w:r>
        <w:t>90 day</w:t>
      </w:r>
      <w:proofErr w:type="gramEnd"/>
      <w:r>
        <w:t xml:space="preserve"> activation plan with the partner's exec, agreed and signed off. Both sides accountable to the same document.</w:t>
      </w:r>
    </w:p>
    <w:p w14:paraId="37FF1853" w14:textId="77777777" w:rsidR="00D2283B" w:rsidRDefault="00EA02D1">
      <w:pPr>
        <w:pStyle w:val="ListParagraph"/>
        <w:numPr>
          <w:ilvl w:val="0"/>
          <w:numId w:val="2"/>
        </w:numPr>
        <w:spacing w:before="40" w:after="60"/>
      </w:pPr>
      <w:r>
        <w:t>Resolved the outstanding discount and MDF disputes before the programme launched. Removing friction first, then building momentum.</w:t>
      </w:r>
    </w:p>
    <w:p w14:paraId="5054F660" w14:textId="77777777" w:rsidR="00D2283B" w:rsidRDefault="00D2283B">
      <w:pPr>
        <w:spacing w:after="60"/>
      </w:pPr>
    </w:p>
    <w:p w14:paraId="667CB2FD" w14:textId="77777777" w:rsidR="00D2283B" w:rsidRDefault="00EA02D1">
      <w:pPr>
        <w:spacing w:before="160" w:after="60"/>
      </w:pPr>
      <w:r>
        <w:rPr>
          <w:b/>
          <w:bCs/>
          <w:color w:val="0D7377"/>
          <w:sz w:val="21"/>
          <w:szCs w:val="21"/>
        </w:rPr>
        <w:t>Phase 3 — Sales Team Activation (Days 14–45)</w:t>
      </w:r>
    </w:p>
    <w:p w14:paraId="58EB8640" w14:textId="77777777" w:rsidR="00D2283B" w:rsidRDefault="00EA02D1">
      <w:pPr>
        <w:pStyle w:val="ListParagraph"/>
        <w:numPr>
          <w:ilvl w:val="0"/>
          <w:numId w:val="2"/>
        </w:numPr>
        <w:spacing w:before="40" w:after="60"/>
      </w:pPr>
      <w:r>
        <w:t>Spent structured time with the partner's sales teams, purchasing function, and services team — understanding who they sold to, what made them recommend a vendor, and where they needed support.</w:t>
      </w:r>
    </w:p>
    <w:p w14:paraId="5E8A2621" w14:textId="77777777" w:rsidR="00D2283B" w:rsidRDefault="00EA02D1">
      <w:pPr>
        <w:pStyle w:val="ListParagraph"/>
        <w:numPr>
          <w:ilvl w:val="0"/>
          <w:numId w:val="2"/>
        </w:numPr>
        <w:spacing w:before="40" w:after="60"/>
      </w:pPr>
      <w:r>
        <w:lastRenderedPageBreak/>
        <w:t>Launched a 30-day pipeline incentive specifically targeting activity (not closed revenue) — creating immediate momentum without waiting for deals to close.</w:t>
      </w:r>
    </w:p>
    <w:p w14:paraId="74E5BADE" w14:textId="77777777" w:rsidR="00D2283B" w:rsidRDefault="00EA02D1">
      <w:pPr>
        <w:pStyle w:val="ListParagraph"/>
        <w:numPr>
          <w:ilvl w:val="0"/>
          <w:numId w:val="2"/>
        </w:numPr>
        <w:spacing w:before="40" w:after="60"/>
      </w:pPr>
      <w:r>
        <w:t>Agreed a joint marketing campaign to the partner's existing customer base, backed by MDF, with a defined pipeline target as the trigger for fund release.</w:t>
      </w:r>
    </w:p>
    <w:p w14:paraId="2C3ED2A8" w14:textId="77777777" w:rsidR="00D2283B" w:rsidRDefault="00EA02D1">
      <w:pPr>
        <w:pStyle w:val="ListParagraph"/>
        <w:numPr>
          <w:ilvl w:val="0"/>
          <w:numId w:val="2"/>
        </w:numPr>
        <w:spacing w:before="40" w:after="60"/>
      </w:pPr>
      <w:r>
        <w:t>Built joined-up value messaging that reflected how the partner sold — not how the vendor's direct team sold. These are not the same thing.</w:t>
      </w:r>
    </w:p>
    <w:p w14:paraId="01244230" w14:textId="77777777" w:rsidR="00D2283B" w:rsidRDefault="00D2283B">
      <w:pPr>
        <w:spacing w:after="80"/>
      </w:pPr>
    </w:p>
    <w:p w14:paraId="670BE608" w14:textId="77777777" w:rsidR="00D2283B" w:rsidRDefault="00EA02D1">
      <w:pPr>
        <w:pStyle w:val="Heading2"/>
        <w:pBdr>
          <w:left w:val="single" w:sz="14" w:space="8" w:color="0D7377"/>
        </w:pBdr>
        <w:ind w:left="160"/>
      </w:pPr>
      <w:r>
        <w:t>The Outcome</w:t>
      </w:r>
    </w:p>
    <w:p w14:paraId="4E849C65" w14:textId="77777777" w:rsidR="00D2283B" w:rsidRDefault="00D2283B">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D2283B" w14:paraId="27BAA71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5070ABAD" w14:textId="77777777" w:rsidR="00D2283B" w:rsidRDefault="00EA02D1">
            <w:r>
              <w:rPr>
                <w:b/>
                <w:bCs/>
                <w:color w:val="1B2A4A"/>
                <w:sz w:val="19"/>
                <w:szCs w:val="19"/>
              </w:rPr>
              <w:t>Revenue at start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D76F5A6" w14:textId="77777777" w:rsidR="00D2283B" w:rsidRDefault="00EA02D1">
            <w:r>
              <w:rPr>
                <w:sz w:val="19"/>
                <w:szCs w:val="19"/>
              </w:rPr>
              <w:t>$3,000,000 (down from $5M peak — a 40% decline)</w:t>
            </w:r>
          </w:p>
        </w:tc>
      </w:tr>
      <w:tr w:rsidR="00D2283B" w14:paraId="06A2D4F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3EA7EEC6" w14:textId="77777777" w:rsidR="00D2283B" w:rsidRDefault="00EA02D1">
            <w:r>
              <w:rPr>
                <w:b/>
                <w:bCs/>
                <w:color w:val="1B2A4A"/>
                <w:sz w:val="19"/>
                <w:szCs w:val="19"/>
              </w:rPr>
              <w:t>Revenue at 24 months</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4B7FF33A" w14:textId="77777777" w:rsidR="00D2283B" w:rsidRDefault="00EA02D1">
            <w:r>
              <w:rPr>
                <w:sz w:val="19"/>
                <w:szCs w:val="19"/>
              </w:rPr>
              <w:t>$9,000,000 — a 3x increase and a new high watermark for the account</w:t>
            </w:r>
          </w:p>
        </w:tc>
      </w:tr>
      <w:tr w:rsidR="00D2283B" w14:paraId="219D357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2FD18404" w14:textId="77777777" w:rsidR="00D2283B" w:rsidRDefault="00EA02D1">
            <w:r>
              <w:rPr>
                <w:b/>
                <w:bCs/>
                <w:color w:val="1B2A4A"/>
                <w:sz w:val="19"/>
                <w:szCs w:val="19"/>
              </w:rPr>
              <w:t>Time to first pipeline movement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3C25756" w14:textId="77777777" w:rsidR="00D2283B" w:rsidRDefault="00EA02D1">
            <w:r>
              <w:rPr>
                <w:sz w:val="19"/>
                <w:szCs w:val="19"/>
              </w:rPr>
              <w:t>Under 30 days from programme launch</w:t>
            </w:r>
          </w:p>
        </w:tc>
      </w:tr>
      <w:tr w:rsidR="00D2283B" w14:paraId="0CA69E5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2718EB0D" w14:textId="77777777" w:rsidR="00D2283B" w:rsidRDefault="00EA02D1">
            <w:r>
              <w:rPr>
                <w:b/>
                <w:bCs/>
                <w:color w:val="1B2A4A"/>
                <w:sz w:val="19"/>
                <w:szCs w:val="19"/>
              </w:rPr>
              <w:t>Root cause of decline</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01FE1CE1" w14:textId="77777777" w:rsidR="00D2283B" w:rsidRDefault="00EA02D1">
            <w:r>
              <w:rPr>
                <w:sz w:val="19"/>
                <w:szCs w:val="19"/>
              </w:rPr>
              <w:t>Neglect, incentive misalignment, and friction in the commercial relationship — not market conditions</w:t>
            </w:r>
          </w:p>
        </w:tc>
      </w:tr>
      <w:tr w:rsidR="00D2283B" w14:paraId="2EAA074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6F14FE5E" w14:textId="77777777" w:rsidR="00D2283B" w:rsidRDefault="00EA02D1">
            <w:r>
              <w:rPr>
                <w:b/>
                <w:bCs/>
                <w:color w:val="1B2A4A"/>
                <w:sz w:val="19"/>
                <w:szCs w:val="19"/>
              </w:rPr>
              <w:t>What made the difference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36F44AB" w14:textId="77777777" w:rsidR="00D2283B" w:rsidRDefault="00EA02D1">
            <w:r>
              <w:rPr>
                <w:sz w:val="19"/>
                <w:szCs w:val="19"/>
              </w:rPr>
              <w:t>Starting with diagnosis before prescription. Building a plan both sides owned. Activating the sales team, not just the partner exec.</w:t>
            </w:r>
          </w:p>
        </w:tc>
      </w:tr>
      <w:tr w:rsidR="00D2283B" w14:paraId="7758A8C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4BE6CAC5" w14:textId="77777777" w:rsidR="00D2283B" w:rsidRDefault="00EA02D1">
            <w:r>
              <w:rPr>
                <w:b/>
                <w:bCs/>
                <w:color w:val="1B2A4A"/>
                <w:sz w:val="19"/>
                <w:szCs w:val="19"/>
              </w:rPr>
              <w:t>Company reference</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6FFDD170" w14:textId="77777777" w:rsidR="00D2283B" w:rsidRDefault="00EA02D1">
            <w:r>
              <w:rPr>
                <w:sz w:val="19"/>
                <w:szCs w:val="19"/>
              </w:rPr>
              <w:t>[Pending permission to name publicly — available on request for qualified prospects]</w:t>
            </w:r>
          </w:p>
        </w:tc>
      </w:tr>
    </w:tbl>
    <w:p w14:paraId="1F4FB422" w14:textId="77777777" w:rsidR="00D2283B" w:rsidRDefault="00D2283B">
      <w:pPr>
        <w:spacing w:after="80"/>
      </w:pPr>
    </w:p>
    <w:p w14:paraId="4FBE4E19" w14:textId="77777777" w:rsidR="00D2283B" w:rsidRDefault="00EA02D1">
      <w:pPr>
        <w:pStyle w:val="Heading2"/>
        <w:pBdr>
          <w:left w:val="single" w:sz="14" w:space="8" w:color="0D7377"/>
        </w:pBdr>
        <w:ind w:left="160"/>
      </w:pPr>
      <w:r>
        <w:t>What This Proves</w:t>
      </w:r>
    </w:p>
    <w:p w14:paraId="52C6F570" w14:textId="77777777" w:rsidR="00D2283B" w:rsidRDefault="00EA02D1">
      <w:pPr>
        <w:spacing w:before="60" w:after="80"/>
      </w:pPr>
      <w:r>
        <w:t>A declining partner account is not necessarily a lost one. The difference between a $3M account and a $9M account was not a better product or a better market — it was structured activation: proper diagnosis, joint planning, incentive alignment, and deliberate sales team engagement. The methodology that drove this result is now the core of what Fractal Channel Ecosystem Consultancy delivers.</w:t>
      </w:r>
    </w:p>
    <w:p w14:paraId="35C2BA28" w14:textId="77777777" w:rsidR="00D2283B" w:rsidRDefault="00D228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83B" w14:paraId="73078278" w14:textId="77777777">
        <w:tblPrEx>
          <w:tblCellMar>
            <w:top w:w="0" w:type="dxa"/>
            <w:bottom w:w="0" w:type="dxa"/>
          </w:tblCellMar>
        </w:tblPrEx>
        <w:tc>
          <w:tcPr>
            <w:tcW w:w="9360" w:type="dxa"/>
            <w:tcBorders>
              <w:top w:val="single" w:sz="1" w:space="0" w:color="CCCCCC"/>
              <w:left w:val="single" w:sz="24" w:space="0" w:color="E8A020"/>
              <w:bottom w:val="single" w:sz="1" w:space="0" w:color="CCCCCC"/>
              <w:right w:val="single" w:sz="1" w:space="0" w:color="CCCCCC"/>
            </w:tcBorders>
            <w:shd w:val="clear" w:color="auto" w:fill="F5F5F5"/>
            <w:tcMar>
              <w:top w:w="160" w:type="dxa"/>
              <w:left w:w="200" w:type="dxa"/>
              <w:bottom w:w="160" w:type="dxa"/>
              <w:right w:w="200" w:type="dxa"/>
            </w:tcMar>
          </w:tcPr>
          <w:p w14:paraId="0A6C5CA9" w14:textId="77777777" w:rsidR="00D2283B" w:rsidRDefault="00EA02D1">
            <w:pPr>
              <w:spacing w:after="80"/>
            </w:pPr>
            <w:r>
              <w:rPr>
                <w:i/>
                <w:iCs/>
                <w:color w:val="1B2A4A"/>
                <w:sz w:val="22"/>
                <w:szCs w:val="22"/>
              </w:rPr>
              <w:t>"Placeholder for testimonial from executive contact at this partner — to be requested. Suggested ask: 'Would you be willing to describe in 2–3 sentences what changed in our partnership and what impact it had on your business?'"</w:t>
            </w:r>
          </w:p>
          <w:p w14:paraId="7A2B87D9" w14:textId="77777777" w:rsidR="00D2283B" w:rsidRDefault="00EA02D1">
            <w:r>
              <w:rPr>
                <w:b/>
                <w:bCs/>
                <w:color w:val="0D7377"/>
                <w:sz w:val="19"/>
                <w:szCs w:val="19"/>
              </w:rPr>
              <w:t>— Partner Executive — [Name/Title to be confirmed]</w:t>
            </w:r>
          </w:p>
        </w:tc>
      </w:tr>
    </w:tbl>
    <w:p w14:paraId="02253281" w14:textId="77777777" w:rsidR="00D2283B" w:rsidRDefault="00D228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83B" w14:paraId="373B608F" w14:textId="77777777">
        <w:tblPrEx>
          <w:tblCellMar>
            <w:top w:w="0" w:type="dxa"/>
            <w:bottom w:w="0" w:type="dxa"/>
          </w:tblCellMar>
        </w:tblPrEx>
        <w:tc>
          <w:tcPr>
            <w:tcW w:w="9360" w:type="dxa"/>
            <w:tcBorders>
              <w:top w:val="single" w:sz="6" w:space="0" w:color="E8A020"/>
              <w:left w:val="single" w:sz="10" w:space="0" w:color="E8A020"/>
              <w:bottom w:val="single" w:sz="1" w:space="0" w:color="CCCCCC"/>
              <w:right w:val="single" w:sz="1" w:space="0" w:color="CCCCCC"/>
            </w:tcBorders>
            <w:shd w:val="clear" w:color="auto" w:fill="FFF3CD"/>
            <w:tcMar>
              <w:top w:w="100" w:type="dxa"/>
              <w:left w:w="140" w:type="dxa"/>
              <w:bottom w:w="100" w:type="dxa"/>
              <w:right w:w="140" w:type="dxa"/>
            </w:tcMar>
          </w:tcPr>
          <w:p w14:paraId="680F2A8B" w14:textId="77777777" w:rsidR="00D2283B" w:rsidRDefault="00EA02D1">
            <w:pPr>
              <w:spacing w:after="40"/>
            </w:pPr>
            <w:r>
              <w:rPr>
                <w:b/>
                <w:bCs/>
                <w:color w:val="E8A020"/>
              </w:rPr>
              <w:t>ACTION REQUIRED BEFORE PUBLISHING</w:t>
            </w:r>
          </w:p>
          <w:p w14:paraId="28E012BB" w14:textId="77777777" w:rsidR="00D2283B" w:rsidRDefault="00EA02D1">
            <w:r>
              <w:t>Confirm with Barcode Warehouse (or relevant contact) whether they can be named publicly in this case study. If yes, add company name, a contact name, and their logo with permission. If no, the anonymised version above is still highly credible — the numbers speak for themselves.</w:t>
            </w:r>
          </w:p>
        </w:tc>
      </w:tr>
    </w:tbl>
    <w:p w14:paraId="7BF41281" w14:textId="77777777" w:rsidR="00D2283B" w:rsidRDefault="00EA02D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83B" w14:paraId="358073A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D7377"/>
            <w:tcMar>
              <w:top w:w="80" w:type="dxa"/>
              <w:left w:w="140" w:type="dxa"/>
              <w:bottom w:w="80" w:type="dxa"/>
              <w:right w:w="140" w:type="dxa"/>
            </w:tcMar>
          </w:tcPr>
          <w:p w14:paraId="5D76E6C8" w14:textId="77777777" w:rsidR="00D2283B" w:rsidRDefault="00EA02D1">
            <w:r>
              <w:rPr>
                <w:b/>
                <w:bCs/>
                <w:color w:val="FFFFFF"/>
                <w:sz w:val="18"/>
                <w:szCs w:val="18"/>
              </w:rPr>
              <w:lastRenderedPageBreak/>
              <w:t xml:space="preserve">PROOF POINT 02 OF </w:t>
            </w:r>
            <w:proofErr w:type="gramStart"/>
            <w:r>
              <w:rPr>
                <w:b/>
                <w:bCs/>
                <w:color w:val="FFFFFF"/>
                <w:sz w:val="18"/>
                <w:szCs w:val="18"/>
              </w:rPr>
              <w:t>02  ·</w:t>
            </w:r>
            <w:proofErr w:type="gramEnd"/>
            <w:r>
              <w:rPr>
                <w:b/>
                <w:bCs/>
                <w:color w:val="FFFFFF"/>
                <w:sz w:val="18"/>
                <w:szCs w:val="18"/>
              </w:rPr>
              <w:t xml:space="preserve">  PROGRAMME BUILD FROM </w:t>
            </w:r>
            <w:proofErr w:type="gramStart"/>
            <w:r>
              <w:rPr>
                <w:b/>
                <w:bCs/>
                <w:color w:val="FFFFFF"/>
                <w:sz w:val="18"/>
                <w:szCs w:val="18"/>
              </w:rPr>
              <w:t>ZERO  ·</w:t>
            </w:r>
            <w:proofErr w:type="gramEnd"/>
            <w:r>
              <w:rPr>
                <w:b/>
                <w:bCs/>
                <w:color w:val="FFFFFF"/>
                <w:sz w:val="18"/>
                <w:szCs w:val="18"/>
              </w:rPr>
              <w:t xml:space="preserve">  HARDWARE / ISV ECOSYSTEM</w:t>
            </w:r>
          </w:p>
        </w:tc>
      </w:tr>
    </w:tbl>
    <w:p w14:paraId="1BE298B4" w14:textId="77777777" w:rsidR="00D2283B" w:rsidRDefault="00D2283B">
      <w:pPr>
        <w:spacing w:after="60"/>
      </w:pPr>
    </w:p>
    <w:p w14:paraId="5F08F799" w14:textId="77777777" w:rsidR="00D2283B" w:rsidRDefault="00EA02D1">
      <w:pPr>
        <w:pStyle w:val="Heading1"/>
        <w:shd w:val="clear" w:color="auto" w:fill="1B2A4A"/>
        <w:ind w:left="140" w:right="140"/>
      </w:pPr>
      <w:r>
        <w:t>From Zero to $5M: Building an ISV Partner Programme That Didn't Exist</w:t>
      </w:r>
    </w:p>
    <w:p w14:paraId="760F89FC" w14:textId="77777777" w:rsidR="00D2283B" w:rsidRDefault="00D228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D2283B" w14:paraId="40876981" w14:textId="77777777">
        <w:tblPrEx>
          <w:tblCellMar>
            <w:top w:w="0" w:type="dxa"/>
            <w:bottom w:w="0" w:type="dxa"/>
          </w:tblCellMar>
        </w:tblPrEx>
        <w:tc>
          <w:tcPr>
            <w:tcW w:w="2340" w:type="dxa"/>
            <w:tcBorders>
              <w:top w:val="none" w:sz="0" w:space="0" w:color="FFFFFF"/>
              <w:left w:val="none" w:sz="0" w:space="0" w:color="FFFFFF"/>
              <w:bottom w:val="none" w:sz="0" w:space="0" w:color="FFFFFF"/>
              <w:right w:val="none" w:sz="0" w:space="0" w:color="FFFFFF"/>
            </w:tcBorders>
            <w:shd w:val="clear" w:color="auto" w:fill="1B2A4A"/>
            <w:tcMar>
              <w:top w:w="200" w:type="dxa"/>
              <w:left w:w="160" w:type="dxa"/>
              <w:bottom w:w="200" w:type="dxa"/>
              <w:right w:w="160" w:type="dxa"/>
            </w:tcMar>
          </w:tcPr>
          <w:p w14:paraId="4D2D8DD8" w14:textId="77777777" w:rsidR="00D2283B" w:rsidRDefault="00EA02D1">
            <w:pPr>
              <w:spacing w:after="40"/>
              <w:jc w:val="center"/>
            </w:pPr>
            <w:r>
              <w:rPr>
                <w:b/>
                <w:bCs/>
                <w:color w:val="FFFFFF"/>
                <w:sz w:val="64"/>
                <w:szCs w:val="64"/>
              </w:rPr>
              <w:t>$0</w:t>
            </w:r>
          </w:p>
          <w:p w14:paraId="67A776B3" w14:textId="77777777" w:rsidR="00D2283B" w:rsidRDefault="00EA02D1">
            <w:pPr>
              <w:spacing w:after="20"/>
              <w:jc w:val="center"/>
            </w:pPr>
            <w:r>
              <w:rPr>
                <w:b/>
                <w:bCs/>
                <w:color w:val="FFFFFF"/>
                <w:sz w:val="22"/>
                <w:szCs w:val="22"/>
              </w:rPr>
              <w:t>ISV Revenue: Start</w:t>
            </w:r>
          </w:p>
          <w:p w14:paraId="1E81AC10" w14:textId="77777777" w:rsidR="00D2283B" w:rsidRDefault="00EA02D1">
            <w:pPr>
              <w:jc w:val="center"/>
            </w:pPr>
            <w:r>
              <w:rPr>
                <w:i/>
                <w:iCs/>
                <w:color w:val="D0E8EA"/>
                <w:sz w:val="18"/>
                <w:szCs w:val="18"/>
              </w:rPr>
              <w:t>No programme existed</w:t>
            </w:r>
          </w:p>
        </w:tc>
        <w:tc>
          <w:tcPr>
            <w:tcW w:w="2340" w:type="dxa"/>
            <w:tcBorders>
              <w:top w:val="none" w:sz="0" w:space="0" w:color="FFFFFF"/>
              <w:left w:val="none" w:sz="0" w:space="0" w:color="FFFFFF"/>
              <w:bottom w:val="none" w:sz="0" w:space="0" w:color="FFFFFF"/>
              <w:right w:val="none" w:sz="0" w:space="0" w:color="FFFFFF"/>
            </w:tcBorders>
            <w:shd w:val="clear" w:color="auto" w:fill="0D7377"/>
            <w:tcMar>
              <w:top w:w="200" w:type="dxa"/>
              <w:left w:w="160" w:type="dxa"/>
              <w:bottom w:w="200" w:type="dxa"/>
              <w:right w:w="160" w:type="dxa"/>
            </w:tcMar>
          </w:tcPr>
          <w:p w14:paraId="6FB29F07" w14:textId="77777777" w:rsidR="00D2283B" w:rsidRDefault="00EA02D1">
            <w:pPr>
              <w:spacing w:after="40"/>
              <w:jc w:val="center"/>
            </w:pPr>
            <w:r>
              <w:rPr>
                <w:b/>
                <w:bCs/>
                <w:color w:val="FFFFFF"/>
                <w:sz w:val="64"/>
                <w:szCs w:val="64"/>
              </w:rPr>
              <w:t>$750K</w:t>
            </w:r>
          </w:p>
          <w:p w14:paraId="328BB8BE" w14:textId="77777777" w:rsidR="00D2283B" w:rsidRDefault="00EA02D1">
            <w:pPr>
              <w:spacing w:after="20"/>
              <w:jc w:val="center"/>
            </w:pPr>
            <w:r>
              <w:rPr>
                <w:b/>
                <w:bCs/>
                <w:color w:val="FFFFFF"/>
                <w:sz w:val="22"/>
                <w:szCs w:val="22"/>
              </w:rPr>
              <w:t>ISV-Influenced: Year 1</w:t>
            </w:r>
          </w:p>
          <w:p w14:paraId="353B2BC3" w14:textId="77777777" w:rsidR="00D2283B" w:rsidRDefault="00EA02D1">
            <w:pPr>
              <w:jc w:val="center"/>
            </w:pPr>
            <w:r>
              <w:rPr>
                <w:i/>
                <w:iCs/>
                <w:color w:val="D0E8EA"/>
                <w:sz w:val="18"/>
                <w:szCs w:val="18"/>
              </w:rPr>
              <w:t>First 12 months of programme</w:t>
            </w:r>
          </w:p>
        </w:tc>
        <w:tc>
          <w:tcPr>
            <w:tcW w:w="2340" w:type="dxa"/>
            <w:tcBorders>
              <w:top w:val="none" w:sz="0" w:space="0" w:color="FFFFFF"/>
              <w:left w:val="none" w:sz="0" w:space="0" w:color="FFFFFF"/>
              <w:bottom w:val="none" w:sz="0" w:space="0" w:color="FFFFFF"/>
              <w:right w:val="none" w:sz="0" w:space="0" w:color="FFFFFF"/>
            </w:tcBorders>
            <w:shd w:val="clear" w:color="auto" w:fill="1B2A4A"/>
            <w:tcMar>
              <w:top w:w="200" w:type="dxa"/>
              <w:left w:w="160" w:type="dxa"/>
              <w:bottom w:w="200" w:type="dxa"/>
              <w:right w:w="160" w:type="dxa"/>
            </w:tcMar>
          </w:tcPr>
          <w:p w14:paraId="3A0AB068" w14:textId="77777777" w:rsidR="00D2283B" w:rsidRDefault="00EA02D1">
            <w:pPr>
              <w:spacing w:after="40"/>
              <w:jc w:val="center"/>
            </w:pPr>
            <w:r>
              <w:rPr>
                <w:b/>
                <w:bCs/>
                <w:color w:val="FFFFFF"/>
                <w:sz w:val="64"/>
                <w:szCs w:val="64"/>
              </w:rPr>
              <w:t>$5M</w:t>
            </w:r>
          </w:p>
          <w:p w14:paraId="471E5415" w14:textId="77777777" w:rsidR="00D2283B" w:rsidRDefault="00EA02D1">
            <w:pPr>
              <w:spacing w:after="20"/>
              <w:jc w:val="center"/>
            </w:pPr>
            <w:r>
              <w:rPr>
                <w:b/>
                <w:bCs/>
                <w:color w:val="FFFFFF"/>
                <w:sz w:val="22"/>
                <w:szCs w:val="22"/>
              </w:rPr>
              <w:t>ISV-Influenced: Year 2</w:t>
            </w:r>
          </w:p>
          <w:p w14:paraId="718C7C59" w14:textId="77777777" w:rsidR="00D2283B" w:rsidRDefault="00EA02D1">
            <w:pPr>
              <w:jc w:val="center"/>
            </w:pPr>
            <w:r>
              <w:rPr>
                <w:i/>
                <w:iCs/>
                <w:color w:val="D0E8EA"/>
                <w:sz w:val="18"/>
                <w:szCs w:val="18"/>
              </w:rPr>
              <w:t>6.7x growth year-on-year</w:t>
            </w:r>
          </w:p>
        </w:tc>
        <w:tc>
          <w:tcPr>
            <w:tcW w:w="2340" w:type="dxa"/>
            <w:tcBorders>
              <w:top w:val="none" w:sz="0" w:space="0" w:color="FFFFFF"/>
              <w:left w:val="none" w:sz="0" w:space="0" w:color="FFFFFF"/>
              <w:bottom w:val="none" w:sz="0" w:space="0" w:color="FFFFFF"/>
              <w:right w:val="none" w:sz="0" w:space="0" w:color="FFFFFF"/>
            </w:tcBorders>
            <w:shd w:val="clear" w:color="auto" w:fill="0D7377"/>
            <w:tcMar>
              <w:top w:w="200" w:type="dxa"/>
              <w:left w:w="160" w:type="dxa"/>
              <w:bottom w:w="200" w:type="dxa"/>
              <w:right w:w="160" w:type="dxa"/>
            </w:tcMar>
          </w:tcPr>
          <w:p w14:paraId="358B508D" w14:textId="77777777" w:rsidR="00D2283B" w:rsidRDefault="00EA02D1">
            <w:pPr>
              <w:spacing w:after="40"/>
              <w:jc w:val="center"/>
            </w:pPr>
            <w:r>
              <w:rPr>
                <w:b/>
                <w:bCs/>
                <w:color w:val="FFFFFF"/>
                <w:sz w:val="64"/>
                <w:szCs w:val="64"/>
              </w:rPr>
              <w:t>35+</w:t>
            </w:r>
          </w:p>
          <w:p w14:paraId="3C9E128E" w14:textId="77777777" w:rsidR="00D2283B" w:rsidRDefault="00EA02D1">
            <w:pPr>
              <w:spacing w:after="20"/>
              <w:jc w:val="center"/>
            </w:pPr>
            <w:r>
              <w:rPr>
                <w:b/>
                <w:bCs/>
                <w:color w:val="FFFFFF"/>
                <w:sz w:val="22"/>
                <w:szCs w:val="22"/>
              </w:rPr>
              <w:t>ISVs Recruited</w:t>
            </w:r>
          </w:p>
          <w:p w14:paraId="173AA98E" w14:textId="77777777" w:rsidR="00D2283B" w:rsidRDefault="00EA02D1">
            <w:pPr>
              <w:jc w:val="center"/>
            </w:pPr>
            <w:r>
              <w:rPr>
                <w:i/>
                <w:iCs/>
                <w:color w:val="D0E8EA"/>
                <w:sz w:val="18"/>
                <w:szCs w:val="18"/>
              </w:rPr>
              <w:t>Across multiple verticals</w:t>
            </w:r>
          </w:p>
        </w:tc>
      </w:tr>
    </w:tbl>
    <w:p w14:paraId="25E74731" w14:textId="77777777" w:rsidR="00D2283B" w:rsidRDefault="00D2283B">
      <w:pPr>
        <w:spacing w:after="100"/>
      </w:pPr>
    </w:p>
    <w:p w14:paraId="34A2E7A9" w14:textId="77777777" w:rsidR="00D2283B" w:rsidRDefault="00EA02D1">
      <w:pPr>
        <w:pStyle w:val="Heading2"/>
        <w:pBdr>
          <w:left w:val="single" w:sz="14" w:space="8" w:color="0D7377"/>
        </w:pBdr>
        <w:ind w:left="160"/>
      </w:pPr>
      <w:r>
        <w:t>The Situation</w:t>
      </w:r>
    </w:p>
    <w:p w14:paraId="689E1576" w14:textId="77777777" w:rsidR="00D2283B" w:rsidRDefault="00EA02D1">
      <w:pPr>
        <w:spacing w:before="60" w:after="80"/>
      </w:pPr>
      <w:r>
        <w:t>A hardware vendor had an ISV ecosystem that was entirely unmanaged. Independent Software Vendors — whose software applications ran on the vendor's hardware — were influencing purchasing decisions every day, but the vendor had no formal programme to engage them, no certification pathway, no referral structure, and no commercial relationship. ISVs were, in effect, channel partners who didn't know they were channel partners.</w:t>
      </w:r>
    </w:p>
    <w:p w14:paraId="13AA2C42" w14:textId="77777777" w:rsidR="00D2283B" w:rsidRDefault="00D2283B">
      <w:pPr>
        <w:spacing w:after="60"/>
      </w:pPr>
    </w:p>
    <w:p w14:paraId="02709208" w14:textId="77777777" w:rsidR="00D2283B" w:rsidRDefault="00EA02D1">
      <w:pPr>
        <w:spacing w:before="60" w:after="80"/>
      </w:pPr>
      <w:r>
        <w:t>The opportunity was significant: ISVs are uniquely positioned in the sales cycle. When an ISV's software is certified to run on your hardware and that ISV has a relationship with your sales team, they become an organic, trusted recommender at the point of customer decision. The vendor was leaving this influence entirely to chance.</w:t>
      </w:r>
    </w:p>
    <w:p w14:paraId="339EFD45" w14:textId="77777777" w:rsidR="00D2283B" w:rsidRDefault="00D2283B">
      <w:pPr>
        <w:spacing w:after="80"/>
      </w:pPr>
    </w:p>
    <w:p w14:paraId="75671B07" w14:textId="77777777" w:rsidR="00D2283B" w:rsidRDefault="00EA02D1">
      <w:pPr>
        <w:pStyle w:val="Heading2"/>
        <w:pBdr>
          <w:left w:val="single" w:sz="14" w:space="8" w:color="0D7377"/>
        </w:pBdr>
        <w:ind w:left="160"/>
      </w:pPr>
      <w:r>
        <w:t>What Was Done</w:t>
      </w:r>
    </w:p>
    <w:p w14:paraId="0F84E005" w14:textId="77777777" w:rsidR="00D2283B" w:rsidRDefault="00D2283B">
      <w:pPr>
        <w:spacing w:after="40"/>
      </w:pPr>
    </w:p>
    <w:p w14:paraId="7792D8AF" w14:textId="77777777" w:rsidR="00D2283B" w:rsidRDefault="00EA02D1">
      <w:pPr>
        <w:spacing w:before="160" w:after="60"/>
      </w:pPr>
      <w:r>
        <w:rPr>
          <w:b/>
          <w:bCs/>
          <w:color w:val="0D7377"/>
          <w:sz w:val="21"/>
          <w:szCs w:val="21"/>
        </w:rPr>
        <w:t>Phase 1 — Market Research &amp; Programme Design (Months 1–3)</w:t>
      </w:r>
    </w:p>
    <w:p w14:paraId="578FAC9B" w14:textId="77777777" w:rsidR="00D2283B" w:rsidRDefault="00EA02D1">
      <w:pPr>
        <w:pStyle w:val="ListParagraph"/>
        <w:numPr>
          <w:ilvl w:val="0"/>
          <w:numId w:val="2"/>
        </w:numPr>
        <w:spacing w:before="40" w:after="60"/>
      </w:pPr>
      <w:r>
        <w:t>Ran a Voice of Partner (VOP) research programme across the ISV market: what programmes existed with competitors, what ISVs valued in a vendor relationship, what made them recommend one hardware platform over another.</w:t>
      </w:r>
    </w:p>
    <w:p w14:paraId="3DDD9A0A" w14:textId="77777777" w:rsidR="00D2283B" w:rsidRDefault="00EA02D1">
      <w:pPr>
        <w:pStyle w:val="ListParagraph"/>
        <w:numPr>
          <w:ilvl w:val="0"/>
          <w:numId w:val="2"/>
        </w:numPr>
        <w:spacing w:before="40" w:after="60"/>
      </w:pPr>
      <w:r>
        <w:t xml:space="preserve">Mapped the pro's and </w:t>
      </w:r>
      <w:proofErr w:type="spellStart"/>
      <w:proofErr w:type="gramStart"/>
      <w:r>
        <w:t>con's</w:t>
      </w:r>
      <w:proofErr w:type="spellEnd"/>
      <w:proofErr w:type="gramEnd"/>
      <w:r>
        <w:t xml:space="preserve"> of existing ISV programmes in the market to understand what the bar was and where there was room to differentiate.</w:t>
      </w:r>
    </w:p>
    <w:p w14:paraId="796B4267" w14:textId="77777777" w:rsidR="00D2283B" w:rsidRDefault="00EA02D1">
      <w:pPr>
        <w:pStyle w:val="ListParagraph"/>
        <w:numPr>
          <w:ilvl w:val="0"/>
          <w:numId w:val="2"/>
        </w:numPr>
        <w:spacing w:before="40" w:after="60"/>
      </w:pPr>
      <w:r>
        <w:t>Designed a tiered programme structure with clear criteria for each tier and defined benefits that created genuine incentive to move up — not just a badge, but access, leads, and commercial advantage.</w:t>
      </w:r>
    </w:p>
    <w:p w14:paraId="22DF6248" w14:textId="77777777" w:rsidR="00D2283B" w:rsidRDefault="00EA02D1">
      <w:pPr>
        <w:pStyle w:val="ListParagraph"/>
        <w:numPr>
          <w:ilvl w:val="0"/>
          <w:numId w:val="2"/>
        </w:numPr>
        <w:spacing w:before="40" w:after="60"/>
      </w:pPr>
      <w:r>
        <w:t>Worked through legal, NDA, and logo usage requirements with the legal team — then automated the documentation so that onboarding paperwork was built into the marketplace terms rather than a separate manual process.</w:t>
      </w:r>
    </w:p>
    <w:p w14:paraId="6ECA172E" w14:textId="77777777" w:rsidR="00D2283B" w:rsidRDefault="00D2283B">
      <w:pPr>
        <w:spacing w:after="60"/>
      </w:pPr>
    </w:p>
    <w:p w14:paraId="59E8344C" w14:textId="77777777" w:rsidR="00D2283B" w:rsidRDefault="00EA02D1">
      <w:pPr>
        <w:spacing w:before="160" w:after="60"/>
      </w:pPr>
      <w:r>
        <w:rPr>
          <w:b/>
          <w:bCs/>
          <w:color w:val="0D7377"/>
          <w:sz w:val="21"/>
          <w:szCs w:val="21"/>
        </w:rPr>
        <w:t>Phase 2 — Infrastructure Build (Months 3–6)</w:t>
      </w:r>
    </w:p>
    <w:p w14:paraId="3C2B39BA" w14:textId="77777777" w:rsidR="00D2283B" w:rsidRDefault="00EA02D1">
      <w:pPr>
        <w:pStyle w:val="ListParagraph"/>
        <w:numPr>
          <w:ilvl w:val="0"/>
          <w:numId w:val="2"/>
        </w:numPr>
        <w:spacing w:before="40" w:after="60"/>
      </w:pPr>
      <w:r>
        <w:t>Set up the partner finder portal so ISVs could be discovered by the vendor's sales team and by end customers — making the ISV relationship visible and commercially useful from Day 1.</w:t>
      </w:r>
    </w:p>
    <w:p w14:paraId="6152608C" w14:textId="77777777" w:rsidR="00D2283B" w:rsidRDefault="00EA02D1">
      <w:pPr>
        <w:pStyle w:val="ListParagraph"/>
        <w:numPr>
          <w:ilvl w:val="0"/>
          <w:numId w:val="2"/>
        </w:numPr>
        <w:spacing w:before="40" w:after="60"/>
      </w:pPr>
      <w:r>
        <w:t>Built the certification pathway: ISVs could have their software formally validated to run on the vendor's hardware, creating a trusted mark they could use in their own sales process.</w:t>
      </w:r>
    </w:p>
    <w:p w14:paraId="304EBBBE" w14:textId="77777777" w:rsidR="00D2283B" w:rsidRDefault="00EA02D1">
      <w:pPr>
        <w:pStyle w:val="ListParagraph"/>
        <w:numPr>
          <w:ilvl w:val="0"/>
          <w:numId w:val="2"/>
        </w:numPr>
        <w:spacing w:before="40" w:after="60"/>
      </w:pPr>
      <w:r>
        <w:t>Established the marketplace listing process: ISVs could publish their solutions, creating an asset the vendor's sales team could actively use in customer conversations.</w:t>
      </w:r>
    </w:p>
    <w:p w14:paraId="57853C8B" w14:textId="77777777" w:rsidR="00D2283B" w:rsidRDefault="00EA02D1">
      <w:pPr>
        <w:pStyle w:val="ListParagraph"/>
        <w:numPr>
          <w:ilvl w:val="0"/>
          <w:numId w:val="2"/>
        </w:numPr>
        <w:spacing w:before="40" w:after="60"/>
      </w:pPr>
      <w:r>
        <w:t>Created a referral fee structure that gave ISVs a direct financial incentive to bring opportunities to the vendor — aligning their commercial interest with the vendor's pipeline growth.</w:t>
      </w:r>
    </w:p>
    <w:p w14:paraId="2D707624" w14:textId="77777777" w:rsidR="00D2283B" w:rsidRDefault="00D2283B">
      <w:pPr>
        <w:spacing w:after="60"/>
      </w:pPr>
    </w:p>
    <w:p w14:paraId="4E710E28" w14:textId="77777777" w:rsidR="00D2283B" w:rsidRDefault="00EA02D1">
      <w:pPr>
        <w:spacing w:before="160" w:after="60"/>
      </w:pPr>
      <w:r>
        <w:rPr>
          <w:b/>
          <w:bCs/>
          <w:color w:val="0D7377"/>
          <w:sz w:val="21"/>
          <w:szCs w:val="21"/>
        </w:rPr>
        <w:t>Phase 3 — Strategic Recruitment (Months 4–9)</w:t>
      </w:r>
    </w:p>
    <w:p w14:paraId="6238EE85" w14:textId="77777777" w:rsidR="00D2283B" w:rsidRDefault="00EA02D1">
      <w:pPr>
        <w:pStyle w:val="ListParagraph"/>
        <w:numPr>
          <w:ilvl w:val="0"/>
          <w:numId w:val="2"/>
        </w:numPr>
        <w:spacing w:before="40" w:after="60"/>
      </w:pPr>
      <w:r>
        <w:t>Identified the top 10 ISVs in each target vertical — not a generic outreach blast, but a specific, researched list of the most strategically valuable potential partners.</w:t>
      </w:r>
    </w:p>
    <w:p w14:paraId="3D2343ED" w14:textId="77777777" w:rsidR="00D2283B" w:rsidRDefault="00EA02D1">
      <w:pPr>
        <w:pStyle w:val="ListParagraph"/>
        <w:numPr>
          <w:ilvl w:val="0"/>
          <w:numId w:val="2"/>
        </w:numPr>
        <w:spacing w:before="40" w:after="60"/>
      </w:pPr>
      <w:r>
        <w:t>Offered founding-tier membership to early joiners — creating urgency and positioning early ISVs as part of something they helped shape, not just a programme they signed up to.</w:t>
      </w:r>
    </w:p>
    <w:p w14:paraId="0CF1AC40" w14:textId="77777777" w:rsidR="00D2283B" w:rsidRDefault="00EA02D1">
      <w:pPr>
        <w:pStyle w:val="ListParagraph"/>
        <w:numPr>
          <w:ilvl w:val="0"/>
          <w:numId w:val="2"/>
        </w:numPr>
        <w:spacing w:before="40" w:after="60"/>
      </w:pPr>
      <w:r>
        <w:t>Recruited 35+ ISVs across verticals within the first year of programme operation.</w:t>
      </w:r>
    </w:p>
    <w:p w14:paraId="2E69BBDD" w14:textId="77777777" w:rsidR="00D2283B" w:rsidRDefault="00EA02D1">
      <w:pPr>
        <w:pStyle w:val="ListParagraph"/>
        <w:numPr>
          <w:ilvl w:val="0"/>
          <w:numId w:val="2"/>
        </w:numPr>
        <w:spacing w:before="40" w:after="60"/>
      </w:pPr>
      <w:r>
        <w:t>Built access to the vendor's sales team as a core programme benefit — the single most requested benefit from the VOP research. ISVs got introductions; the sales team got pre-qualified referrals.</w:t>
      </w:r>
    </w:p>
    <w:p w14:paraId="2958D1FF" w14:textId="77777777" w:rsidR="00D2283B" w:rsidRDefault="00D2283B">
      <w:pPr>
        <w:spacing w:after="80"/>
      </w:pPr>
    </w:p>
    <w:p w14:paraId="4F7CECC4" w14:textId="77777777" w:rsidR="00D2283B" w:rsidRDefault="00EA02D1">
      <w:pPr>
        <w:pStyle w:val="Heading2"/>
        <w:pBdr>
          <w:left w:val="single" w:sz="14" w:space="8" w:color="0D7377"/>
        </w:pBdr>
        <w:ind w:left="160"/>
      </w:pPr>
      <w:r>
        <w:t>The Outcome</w:t>
      </w:r>
    </w:p>
    <w:p w14:paraId="0693FFD6" w14:textId="77777777" w:rsidR="00D2283B" w:rsidRDefault="00D2283B">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D2283B" w14:paraId="657FBA1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76CA660B" w14:textId="77777777" w:rsidR="00D2283B" w:rsidRDefault="00EA02D1">
            <w:r>
              <w:rPr>
                <w:b/>
                <w:bCs/>
                <w:color w:val="1B2A4A"/>
                <w:sz w:val="19"/>
                <w:szCs w:val="19"/>
              </w:rPr>
              <w:t>Programme at start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DB9A1C4" w14:textId="77777777" w:rsidR="00D2283B" w:rsidRDefault="00EA02D1">
            <w:r>
              <w:rPr>
                <w:sz w:val="19"/>
                <w:szCs w:val="19"/>
              </w:rPr>
              <w:t>Zero. No ISV programme, no certification, no referral structure, no portal.</w:t>
            </w:r>
          </w:p>
        </w:tc>
      </w:tr>
      <w:tr w:rsidR="00D2283B" w14:paraId="590E4CD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7012CEAF" w14:textId="77777777" w:rsidR="00D2283B" w:rsidRDefault="00EA02D1">
            <w:r>
              <w:rPr>
                <w:b/>
                <w:bCs/>
                <w:color w:val="1B2A4A"/>
                <w:sz w:val="19"/>
                <w:szCs w:val="19"/>
              </w:rPr>
              <w:t>ISVs recruited</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1C8FF09C" w14:textId="77777777" w:rsidR="00D2283B" w:rsidRDefault="00EA02D1">
            <w:r>
              <w:rPr>
                <w:sz w:val="19"/>
                <w:szCs w:val="19"/>
              </w:rPr>
              <w:t>35+ across multiple verticals within 12 months of programme launch</w:t>
            </w:r>
          </w:p>
        </w:tc>
      </w:tr>
      <w:tr w:rsidR="00D2283B" w14:paraId="2A9897D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14A6A87A" w14:textId="77777777" w:rsidR="00D2283B" w:rsidRDefault="00EA02D1">
            <w:r>
              <w:rPr>
                <w:b/>
                <w:bCs/>
                <w:color w:val="1B2A4A"/>
                <w:sz w:val="19"/>
                <w:szCs w:val="19"/>
              </w:rPr>
              <w:t>Year 1 influenced revenue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89A1807" w14:textId="77777777" w:rsidR="00D2283B" w:rsidRDefault="00EA02D1">
            <w:r>
              <w:rPr>
                <w:sz w:val="19"/>
                <w:szCs w:val="19"/>
              </w:rPr>
              <w:t>$750,000 in hardware revenue influenced by ISV relationships</w:t>
            </w:r>
          </w:p>
        </w:tc>
      </w:tr>
      <w:tr w:rsidR="00D2283B" w14:paraId="6ABBA1D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3B06D286" w14:textId="77777777" w:rsidR="00D2283B" w:rsidRDefault="00EA02D1">
            <w:r>
              <w:rPr>
                <w:b/>
                <w:bCs/>
                <w:color w:val="1B2A4A"/>
                <w:sz w:val="19"/>
                <w:szCs w:val="19"/>
              </w:rPr>
              <w:t>Year 2 influenced revenue</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0FC74556" w14:textId="77777777" w:rsidR="00D2283B" w:rsidRDefault="00EA02D1">
            <w:r>
              <w:rPr>
                <w:sz w:val="19"/>
                <w:szCs w:val="19"/>
              </w:rPr>
              <w:t>$5,000,000 — a 6.7x increase as the programme reached critical mass</w:t>
            </w:r>
          </w:p>
        </w:tc>
      </w:tr>
      <w:tr w:rsidR="00D2283B" w14:paraId="6246D26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3B3DD99B" w14:textId="77777777" w:rsidR="00D2283B" w:rsidRDefault="00EA02D1">
            <w:r>
              <w:rPr>
                <w:b/>
                <w:bCs/>
                <w:color w:val="1B2A4A"/>
                <w:sz w:val="19"/>
                <w:szCs w:val="19"/>
              </w:rPr>
              <w:t>Time from zero to first ISVs active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ED1D0DF" w14:textId="77777777" w:rsidR="00D2283B" w:rsidRDefault="00EA02D1">
            <w:r>
              <w:rPr>
                <w:sz w:val="19"/>
                <w:szCs w:val="19"/>
              </w:rPr>
              <w:t>6–9 months (including design, legal, infrastructure, and recruitment)</w:t>
            </w:r>
          </w:p>
        </w:tc>
      </w:tr>
      <w:tr w:rsidR="00D2283B" w14:paraId="52B15D2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5201A522" w14:textId="77777777" w:rsidR="00D2283B" w:rsidRDefault="00EA02D1">
            <w:r>
              <w:rPr>
                <w:b/>
                <w:bCs/>
                <w:color w:val="1B2A4A"/>
                <w:sz w:val="19"/>
                <w:szCs w:val="19"/>
              </w:rPr>
              <w:t>Key design decision</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2428F7A6" w14:textId="77777777" w:rsidR="00D2283B" w:rsidRDefault="00EA02D1">
            <w:r>
              <w:rPr>
                <w:sz w:val="19"/>
                <w:szCs w:val="19"/>
              </w:rPr>
              <w:t>Automated legal paperwork reduced onboarding friction dramatically — a process that would have taken weeks was reduced to a self-service step in the marketplace sign-up flow</w:t>
            </w:r>
          </w:p>
        </w:tc>
      </w:tr>
      <w:tr w:rsidR="00D2283B" w14:paraId="41442C8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7950077F" w14:textId="77777777" w:rsidR="00D2283B" w:rsidRDefault="00EA02D1">
            <w:r>
              <w:rPr>
                <w:b/>
                <w:bCs/>
                <w:color w:val="1B2A4A"/>
                <w:sz w:val="19"/>
                <w:szCs w:val="19"/>
              </w:rPr>
              <w:t>Company reference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E3C7AEA" w14:textId="77777777" w:rsidR="00D2283B" w:rsidRDefault="00EA02D1">
            <w:r>
              <w:rPr>
                <w:sz w:val="19"/>
                <w:szCs w:val="19"/>
              </w:rPr>
              <w:t>[Available on request — to be confirmed for public naming]</w:t>
            </w:r>
          </w:p>
        </w:tc>
      </w:tr>
    </w:tbl>
    <w:p w14:paraId="6F6C7EB2" w14:textId="77777777" w:rsidR="00D2283B" w:rsidRDefault="00D2283B">
      <w:pPr>
        <w:spacing w:after="80"/>
      </w:pPr>
    </w:p>
    <w:p w14:paraId="30455C17" w14:textId="77777777" w:rsidR="00D2283B" w:rsidRDefault="00EA02D1">
      <w:pPr>
        <w:pStyle w:val="Heading2"/>
        <w:pBdr>
          <w:left w:val="single" w:sz="14" w:space="8" w:color="0D7377"/>
        </w:pBdr>
        <w:ind w:left="160"/>
      </w:pPr>
      <w:r>
        <w:t>What This Proves</w:t>
      </w:r>
    </w:p>
    <w:p w14:paraId="6FEAA7B5" w14:textId="77777777" w:rsidR="00D2283B" w:rsidRDefault="00EA02D1">
      <w:pPr>
        <w:spacing w:before="60" w:after="80"/>
      </w:pPr>
      <w:r>
        <w:t>Building a partner programme from scratch is not primarily a technology or legal problem — it is a design and activation problem. The infrastructure (portal, certification, marketplace) is table stakes. What made this programme work was starting with what ISVs actually wanted (VOP research), building incentive structures that aligned commercial interests, and recruiting strategically rather than broadly. The jump from $750K to $5M in Year 2 happened because the foundation was built correctly in Year 1 — not</w:t>
      </w:r>
      <w:r>
        <w:t xml:space="preserve"> because more ISVs were recruited, but because the ones already in the programme were activated properly.</w:t>
      </w:r>
    </w:p>
    <w:p w14:paraId="1830C44A" w14:textId="77777777" w:rsidR="00D2283B" w:rsidRDefault="00D228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83B" w14:paraId="68A48C1E" w14:textId="77777777">
        <w:tblPrEx>
          <w:tblCellMar>
            <w:top w:w="0" w:type="dxa"/>
            <w:bottom w:w="0" w:type="dxa"/>
          </w:tblCellMar>
        </w:tblPrEx>
        <w:tc>
          <w:tcPr>
            <w:tcW w:w="9360" w:type="dxa"/>
            <w:tcBorders>
              <w:top w:val="single" w:sz="1" w:space="0" w:color="CCCCCC"/>
              <w:left w:val="single" w:sz="24" w:space="0" w:color="E8A020"/>
              <w:bottom w:val="single" w:sz="1" w:space="0" w:color="CCCCCC"/>
              <w:right w:val="single" w:sz="1" w:space="0" w:color="CCCCCC"/>
            </w:tcBorders>
            <w:shd w:val="clear" w:color="auto" w:fill="F5F5F5"/>
            <w:tcMar>
              <w:top w:w="160" w:type="dxa"/>
              <w:left w:w="200" w:type="dxa"/>
              <w:bottom w:w="160" w:type="dxa"/>
              <w:right w:w="200" w:type="dxa"/>
            </w:tcMar>
          </w:tcPr>
          <w:p w14:paraId="21E71656" w14:textId="77777777" w:rsidR="00D2283B" w:rsidRDefault="00EA02D1">
            <w:pPr>
              <w:spacing w:after="80"/>
            </w:pPr>
            <w:r>
              <w:rPr>
                <w:i/>
                <w:iCs/>
                <w:color w:val="1B2A4A"/>
                <w:sz w:val="22"/>
                <w:szCs w:val="22"/>
              </w:rPr>
              <w:t>"Placeholder for testimonial from vendor-side stakeholder or an ISV participant in the programme. Suggested ask: 'In one or two sentences, what did the ISV programme deliver that you hadn't been able to achieve before?'"</w:t>
            </w:r>
          </w:p>
          <w:p w14:paraId="3950B7B6" w14:textId="77777777" w:rsidR="00D2283B" w:rsidRDefault="00EA02D1">
            <w:r>
              <w:rPr>
                <w:b/>
                <w:bCs/>
                <w:color w:val="0D7377"/>
                <w:sz w:val="19"/>
                <w:szCs w:val="19"/>
              </w:rPr>
              <w:t>— Vendor Executive or ISV Partner — [Name/Title to be confirmed]</w:t>
            </w:r>
          </w:p>
        </w:tc>
      </w:tr>
    </w:tbl>
    <w:p w14:paraId="0BA05449" w14:textId="77777777" w:rsidR="00D2283B" w:rsidRDefault="00EA02D1">
      <w:r>
        <w:br w:type="page"/>
      </w:r>
    </w:p>
    <w:p w14:paraId="20CE31E3" w14:textId="77777777" w:rsidR="00D2283B" w:rsidRDefault="00EA02D1">
      <w:pPr>
        <w:pStyle w:val="Heading1"/>
        <w:shd w:val="clear" w:color="auto" w:fill="1B2A4A"/>
        <w:ind w:left="140" w:right="140"/>
      </w:pPr>
      <w:r>
        <w:lastRenderedPageBreak/>
        <w:t>What These Two Engagements Prove About the Methodology</w:t>
      </w:r>
    </w:p>
    <w:p w14:paraId="215CA23D" w14:textId="77777777" w:rsidR="00D2283B" w:rsidRDefault="00D2283B">
      <w:pPr>
        <w:spacing w:after="80"/>
      </w:pPr>
    </w:p>
    <w:p w14:paraId="79C8D0A7" w14:textId="77777777" w:rsidR="00D2283B" w:rsidRDefault="00EA02D1">
      <w:pPr>
        <w:spacing w:before="60" w:after="80"/>
      </w:pPr>
      <w:r>
        <w:t>Two different problems. Two different partner types. Two different starting points. The same underlying activation principles at work in both. This is not coincidence — it is methodology.</w:t>
      </w:r>
    </w:p>
    <w:p w14:paraId="27F99659" w14:textId="77777777" w:rsidR="00D2283B" w:rsidRDefault="00D2283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D2283B" w14:paraId="33C6502D" w14:textId="77777777">
        <w:tblPrEx>
          <w:tblCellMar>
            <w:top w:w="0" w:type="dxa"/>
            <w:bottom w:w="0" w:type="dxa"/>
          </w:tblCellMar>
        </w:tblPrEx>
        <w:trPr>
          <w:tblHeader/>
        </w:trPr>
        <w:tc>
          <w:tcPr>
            <w:tcW w:w="312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tcPr>
          <w:p w14:paraId="2D099B97" w14:textId="77777777" w:rsidR="00D2283B" w:rsidRDefault="00EA02D1">
            <w:r>
              <w:rPr>
                <w:b/>
                <w:bCs/>
                <w:color w:val="FFFFFF"/>
              </w:rPr>
              <w:t>Principle</w:t>
            </w:r>
          </w:p>
        </w:tc>
        <w:tc>
          <w:tcPr>
            <w:tcW w:w="312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tcPr>
          <w:p w14:paraId="64A2BFBA" w14:textId="77777777" w:rsidR="00D2283B" w:rsidRDefault="00EA02D1">
            <w:r>
              <w:rPr>
                <w:b/>
                <w:bCs/>
                <w:color w:val="FFFFFF"/>
              </w:rPr>
              <w:t>Proof Point 1 (Reactivation)</w:t>
            </w:r>
          </w:p>
        </w:tc>
        <w:tc>
          <w:tcPr>
            <w:tcW w:w="312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tcPr>
          <w:p w14:paraId="52A23489" w14:textId="77777777" w:rsidR="00D2283B" w:rsidRDefault="00EA02D1">
            <w:r>
              <w:rPr>
                <w:b/>
                <w:bCs/>
                <w:color w:val="FFFFFF"/>
              </w:rPr>
              <w:t>Proof Point 2 (Build)</w:t>
            </w:r>
          </w:p>
        </w:tc>
      </w:tr>
      <w:tr w:rsidR="00D2283B" w14:paraId="734B861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59FE911C" w14:textId="77777777" w:rsidR="00D2283B" w:rsidRDefault="00EA02D1">
            <w:r>
              <w:rPr>
                <w:b/>
                <w:bCs/>
                <w:color w:val="1B2A4A"/>
                <w:sz w:val="19"/>
                <w:szCs w:val="19"/>
              </w:rPr>
              <w:t>Diagnose before prescribe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611B2F2" w14:textId="77777777" w:rsidR="00D2283B" w:rsidRDefault="00EA02D1">
            <w:r>
              <w:rPr>
                <w:sz w:val="19"/>
                <w:szCs w:val="19"/>
              </w:rPr>
              <w:t>VOP session with exec before any plan was built</w:t>
            </w:r>
          </w:p>
        </w:tc>
        <w:tc>
          <w:tcPr>
            <w:tcW w:w="312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400AA43D" w14:textId="77777777" w:rsidR="00D2283B" w:rsidRDefault="00EA02D1">
            <w:r>
              <w:rPr>
                <w:sz w:val="19"/>
                <w:szCs w:val="19"/>
              </w:rPr>
              <w:t>Market research (VOP) before programme design</w:t>
            </w:r>
          </w:p>
        </w:tc>
      </w:tr>
      <w:tr w:rsidR="00D2283B" w14:paraId="392526E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363D03C" w14:textId="77777777" w:rsidR="00D2283B" w:rsidRDefault="00EA02D1">
            <w:r>
              <w:rPr>
                <w:b/>
                <w:bCs/>
                <w:color w:val="1B2A4A"/>
                <w:sz w:val="19"/>
                <w:szCs w:val="19"/>
              </w:rPr>
              <w:t>Fix friction before building momentum</w:t>
            </w:r>
          </w:p>
        </w:tc>
        <w:tc>
          <w:tcPr>
            <w:tcW w:w="312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17386A56" w14:textId="77777777" w:rsidR="00D2283B" w:rsidRDefault="00EA02D1">
            <w:r>
              <w:rPr>
                <w:sz w:val="19"/>
                <w:szCs w:val="19"/>
              </w:rPr>
              <w:t>Resolved discount/MDF disputes before launch</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A54253B" w14:textId="77777777" w:rsidR="00D2283B" w:rsidRDefault="00EA02D1">
            <w:r>
              <w:rPr>
                <w:sz w:val="19"/>
                <w:szCs w:val="19"/>
              </w:rPr>
              <w:t>Automated legal paperwork before recruitment began</w:t>
            </w:r>
          </w:p>
        </w:tc>
      </w:tr>
      <w:tr w:rsidR="00D2283B" w14:paraId="4F239CB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6152E115" w14:textId="77777777" w:rsidR="00D2283B" w:rsidRDefault="00EA02D1">
            <w:r>
              <w:rPr>
                <w:b/>
                <w:bCs/>
                <w:color w:val="1B2A4A"/>
                <w:sz w:val="19"/>
                <w:szCs w:val="19"/>
              </w:rPr>
              <w:t>Align incentives explicitly</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391C90E" w14:textId="77777777" w:rsidR="00D2283B" w:rsidRDefault="00EA02D1">
            <w:r>
              <w:rPr>
                <w:sz w:val="19"/>
                <w:szCs w:val="19"/>
              </w:rPr>
              <w:t>30-day pipeline incentive; MDF tied to pipeline targets</w:t>
            </w:r>
          </w:p>
        </w:tc>
        <w:tc>
          <w:tcPr>
            <w:tcW w:w="312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4ADB038A" w14:textId="77777777" w:rsidR="00D2283B" w:rsidRDefault="00EA02D1">
            <w:r>
              <w:rPr>
                <w:sz w:val="19"/>
                <w:szCs w:val="19"/>
              </w:rPr>
              <w:t>Referral fee structure; founding-tier recruitment offer</w:t>
            </w:r>
          </w:p>
        </w:tc>
      </w:tr>
      <w:tr w:rsidR="00D2283B" w14:paraId="7E2609E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4404C03" w14:textId="77777777" w:rsidR="00D2283B" w:rsidRDefault="00EA02D1">
            <w:r>
              <w:rPr>
                <w:b/>
                <w:bCs/>
                <w:color w:val="1B2A4A"/>
                <w:sz w:val="19"/>
                <w:szCs w:val="19"/>
              </w:rPr>
              <w:t>Activate the people, not just the programme</w:t>
            </w:r>
          </w:p>
        </w:tc>
        <w:tc>
          <w:tcPr>
            <w:tcW w:w="312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51B0CAA8" w14:textId="77777777" w:rsidR="00D2283B" w:rsidRDefault="00EA02D1">
            <w:r>
              <w:rPr>
                <w:sz w:val="19"/>
                <w:szCs w:val="19"/>
              </w:rPr>
              <w:t>Spent time with sales, purchasing, and services teams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65B7862" w14:textId="77777777" w:rsidR="00D2283B" w:rsidRDefault="00EA02D1">
            <w:r>
              <w:rPr>
                <w:sz w:val="19"/>
                <w:szCs w:val="19"/>
              </w:rPr>
              <w:t>Built sales team access as a core ISV benefit</w:t>
            </w:r>
          </w:p>
        </w:tc>
      </w:tr>
      <w:tr w:rsidR="00D2283B" w14:paraId="5241E93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14572655" w14:textId="77777777" w:rsidR="00D2283B" w:rsidRDefault="00EA02D1">
            <w:r>
              <w:rPr>
                <w:b/>
                <w:bCs/>
                <w:color w:val="1B2A4A"/>
                <w:sz w:val="19"/>
                <w:szCs w:val="19"/>
              </w:rPr>
              <w:t>Measure activity before revenue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E6659ED" w14:textId="77777777" w:rsidR="00D2283B" w:rsidRDefault="00EA02D1">
            <w:r>
              <w:rPr>
                <w:sz w:val="19"/>
                <w:szCs w:val="19"/>
              </w:rPr>
              <w:t>Pipeline movement within 30 days as the first success metric</w:t>
            </w:r>
          </w:p>
        </w:tc>
        <w:tc>
          <w:tcPr>
            <w:tcW w:w="312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6794CB23" w14:textId="77777777" w:rsidR="00D2283B" w:rsidRDefault="00EA02D1">
            <w:r>
              <w:rPr>
                <w:sz w:val="19"/>
                <w:szCs w:val="19"/>
              </w:rPr>
              <w:t>ISV onboarding and portal listings as Year 1 milestones</w:t>
            </w:r>
          </w:p>
        </w:tc>
      </w:tr>
      <w:tr w:rsidR="00D2283B" w14:paraId="6AD5F6B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59D95BD" w14:textId="77777777" w:rsidR="00D2283B" w:rsidRDefault="00EA02D1">
            <w:r>
              <w:rPr>
                <w:b/>
                <w:bCs/>
                <w:color w:val="1B2A4A"/>
                <w:sz w:val="19"/>
                <w:szCs w:val="19"/>
              </w:rPr>
              <w:t>Design for scale from the start</w:t>
            </w:r>
          </w:p>
        </w:tc>
        <w:tc>
          <w:tcPr>
            <w:tcW w:w="312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49863F90" w14:textId="77777777" w:rsidR="00D2283B" w:rsidRDefault="00EA02D1">
            <w:r>
              <w:rPr>
                <w:sz w:val="19"/>
                <w:szCs w:val="19"/>
              </w:rPr>
              <w:t>Joint business plan as the repeatable operating framework</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E41513A" w14:textId="77777777" w:rsidR="00D2283B" w:rsidRDefault="00EA02D1">
            <w:r>
              <w:rPr>
                <w:sz w:val="19"/>
                <w:szCs w:val="19"/>
              </w:rPr>
              <w:t>Tiered programme structure with clear progression criteria</w:t>
            </w:r>
          </w:p>
        </w:tc>
      </w:tr>
    </w:tbl>
    <w:p w14:paraId="2D667963" w14:textId="77777777" w:rsidR="00D2283B" w:rsidRDefault="00D2283B">
      <w:pPr>
        <w:spacing w:after="100"/>
      </w:pPr>
    </w:p>
    <w:p w14:paraId="4F4B99B7" w14:textId="77777777" w:rsidR="00D2283B" w:rsidRDefault="00EA02D1">
      <w:pPr>
        <w:pStyle w:val="Heading1"/>
        <w:shd w:val="clear" w:color="auto" w:fill="1B2A4A"/>
        <w:ind w:left="140" w:right="140"/>
      </w:pPr>
      <w:r>
        <w:t>ACTION PLAN: Securing Testimonials &amp; Naming Permission</w:t>
      </w:r>
    </w:p>
    <w:p w14:paraId="2254D7A6" w14:textId="77777777" w:rsidR="00D2283B" w:rsidRDefault="00D2283B">
      <w:pPr>
        <w:spacing w:after="80"/>
      </w:pPr>
    </w:p>
    <w:p w14:paraId="2BE1D0CD" w14:textId="77777777" w:rsidR="00D2283B" w:rsidRDefault="00EA02D1">
      <w:pPr>
        <w:spacing w:before="60" w:after="80"/>
      </w:pPr>
      <w:r>
        <w:t>The proof points above are credible without named testimonials — the numbers are specific enough to be believable. But named testimonials from real contacts will significantly improve your close rate, particularly with risk-averse SMB buyers. Here is exactly how to get them.</w:t>
      </w:r>
    </w:p>
    <w:p w14:paraId="1114059E" w14:textId="77777777" w:rsidR="00D2283B" w:rsidRDefault="00D2283B">
      <w:pPr>
        <w:spacing w:after="80"/>
      </w:pPr>
    </w:p>
    <w:p w14:paraId="48283A44" w14:textId="77777777" w:rsidR="00D2283B" w:rsidRDefault="00EA02D1">
      <w:pPr>
        <w:pStyle w:val="Heading2"/>
        <w:pBdr>
          <w:left w:val="single" w:sz="14" w:space="8" w:color="0D7377"/>
        </w:pBdr>
        <w:ind w:left="160"/>
      </w:pPr>
      <w:r>
        <w:t>Who to Contact &amp; What to Ask</w:t>
      </w:r>
    </w:p>
    <w:p w14:paraId="4A502190" w14:textId="77777777" w:rsidR="00D2283B" w:rsidRDefault="00D2283B">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D2283B" w14:paraId="47945FE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7F246980" w14:textId="77777777" w:rsidR="00D2283B" w:rsidRDefault="00EA02D1">
            <w:r>
              <w:rPr>
                <w:b/>
                <w:bCs/>
                <w:color w:val="1B2A4A"/>
                <w:sz w:val="19"/>
                <w:szCs w:val="19"/>
              </w:rPr>
              <w:t>Contact priority</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2F04BB0" w14:textId="77777777" w:rsidR="00D2283B" w:rsidRDefault="00EA02D1">
            <w:r>
              <w:rPr>
                <w:sz w:val="19"/>
                <w:szCs w:val="19"/>
              </w:rPr>
              <w:t>The exec you sat down with at the partner in Proof Point 1. They saw the before and after directly. Their testimonial is the most powerful available.</w:t>
            </w:r>
          </w:p>
        </w:tc>
      </w:tr>
      <w:tr w:rsidR="00D2283B" w14:paraId="537C0C2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222FE6E7" w14:textId="77777777" w:rsidR="00D2283B" w:rsidRDefault="00EA02D1">
            <w:r>
              <w:rPr>
                <w:b/>
                <w:bCs/>
                <w:color w:val="1B2A4A"/>
                <w:sz w:val="19"/>
                <w:szCs w:val="19"/>
              </w:rPr>
              <w:t>Second priority</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22B9F86C" w14:textId="77777777" w:rsidR="00D2283B" w:rsidRDefault="00EA02D1">
            <w:r>
              <w:rPr>
                <w:sz w:val="19"/>
                <w:szCs w:val="19"/>
              </w:rPr>
              <w:t>The vendor-side stakeholder who sponsored the ISV programme in Proof Point 2. They can speak to the business case and the outcome.</w:t>
            </w:r>
          </w:p>
        </w:tc>
      </w:tr>
      <w:tr w:rsidR="00D2283B" w14:paraId="7FEE506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BF4F5"/>
            <w:tcMar>
              <w:top w:w="100" w:type="dxa"/>
              <w:left w:w="140" w:type="dxa"/>
              <w:bottom w:w="100" w:type="dxa"/>
              <w:right w:w="140" w:type="dxa"/>
            </w:tcMar>
          </w:tcPr>
          <w:p w14:paraId="58EBABA8" w14:textId="77777777" w:rsidR="00D2283B" w:rsidRDefault="00EA02D1">
            <w:r>
              <w:rPr>
                <w:b/>
                <w:bCs/>
                <w:color w:val="1B2A4A"/>
                <w:sz w:val="19"/>
                <w:szCs w:val="19"/>
              </w:rPr>
              <w:t>Third priority</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425244B" w14:textId="77777777" w:rsidR="00D2283B" w:rsidRDefault="00EA02D1">
            <w:r>
              <w:rPr>
                <w:sz w:val="19"/>
                <w:szCs w:val="19"/>
              </w:rPr>
              <w:t>An ISV who joined the programme early and benefited from it — their perspective as a partner in the programme adds a different dimension.</w:t>
            </w:r>
          </w:p>
        </w:tc>
      </w:tr>
    </w:tbl>
    <w:p w14:paraId="748F3C42" w14:textId="77777777" w:rsidR="00D2283B" w:rsidRDefault="00D2283B">
      <w:pPr>
        <w:spacing w:after="80"/>
      </w:pPr>
    </w:p>
    <w:p w14:paraId="36079CB3" w14:textId="77777777" w:rsidR="00D2283B" w:rsidRDefault="00EA02D1">
      <w:pPr>
        <w:pStyle w:val="Heading2"/>
        <w:pBdr>
          <w:left w:val="single" w:sz="14" w:space="8" w:color="0D7377"/>
        </w:pBdr>
        <w:ind w:left="160"/>
      </w:pPr>
      <w:r>
        <w:t>The Ask — Word for Word</w:t>
      </w:r>
    </w:p>
    <w:p w14:paraId="5D134815" w14:textId="77777777" w:rsidR="00D2283B" w:rsidRDefault="00D2283B">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2283B" w14:paraId="092F3A85" w14:textId="77777777">
        <w:tblPrEx>
          <w:tblCellMar>
            <w:top w:w="0" w:type="dxa"/>
            <w:bottom w:w="0" w:type="dxa"/>
          </w:tblCellMar>
        </w:tblPrEx>
        <w:tc>
          <w:tcPr>
            <w:tcW w:w="9360" w:type="dxa"/>
            <w:tcBorders>
              <w:top w:val="single" w:sz="6" w:space="0" w:color="0D7377"/>
              <w:left w:val="single" w:sz="10" w:space="0" w:color="0D7377"/>
              <w:bottom w:val="single" w:sz="1" w:space="0" w:color="CCCCCC"/>
              <w:right w:val="single" w:sz="1" w:space="0" w:color="CCCCCC"/>
            </w:tcBorders>
            <w:shd w:val="clear" w:color="auto" w:fill="EBF4F5"/>
            <w:tcMar>
              <w:top w:w="100" w:type="dxa"/>
              <w:left w:w="140" w:type="dxa"/>
              <w:bottom w:w="100" w:type="dxa"/>
              <w:right w:w="140" w:type="dxa"/>
            </w:tcMar>
          </w:tcPr>
          <w:p w14:paraId="47C12B4A" w14:textId="77777777" w:rsidR="00D2283B" w:rsidRDefault="00EA02D1">
            <w:pPr>
              <w:spacing w:after="40"/>
            </w:pPr>
            <w:r>
              <w:rPr>
                <w:b/>
                <w:bCs/>
                <w:color w:val="0D7377"/>
              </w:rPr>
              <w:t>SUGGESTED MESSAGE TO SEND (adapt to your relationship)</w:t>
            </w:r>
          </w:p>
          <w:p w14:paraId="58A691AB" w14:textId="77777777" w:rsidR="00D2283B" w:rsidRDefault="00EA02D1">
            <w:r>
              <w:t>"Hi [Name], I'm launching a channel activation consultancy and I'm putting together a small portfolio of proof points from work I've done. I'd love to include [company/our partnership] as an example — the results we achieved together are genuinely strong and I think they illustrate the approach well.  Would you be comfortable with either: (a) a brief written quote I can use on my website and in proposals, or (b) being listed as a reference I can introduce to prospects when appropriate?  I'll send you a draf</w:t>
            </w:r>
            <w:r>
              <w:t xml:space="preserve">t of </w:t>
            </w:r>
            <w:r>
              <w:lastRenderedPageBreak/>
              <w:t>how I'd describe the engagement for your review before anything goes public. Happy to return the favour with a LinkedIn recommendation or reference for you."</w:t>
            </w:r>
          </w:p>
        </w:tc>
      </w:tr>
    </w:tbl>
    <w:p w14:paraId="73E4BB48" w14:textId="77777777" w:rsidR="00D2283B" w:rsidRDefault="00D2283B">
      <w:pPr>
        <w:spacing w:after="80"/>
      </w:pPr>
    </w:p>
    <w:p w14:paraId="28F1B77D" w14:textId="77777777" w:rsidR="00D2283B" w:rsidRDefault="00EA02D1">
      <w:pPr>
        <w:pStyle w:val="Heading2"/>
        <w:pBdr>
          <w:left w:val="single" w:sz="14" w:space="8" w:color="0D7377"/>
        </w:pBdr>
        <w:ind w:left="160"/>
      </w:pPr>
      <w:r>
        <w:t>What a Good Testimonial Looks Like</w:t>
      </w:r>
    </w:p>
    <w:p w14:paraId="5C18F37A" w14:textId="77777777" w:rsidR="00D2283B" w:rsidRDefault="00EA02D1">
      <w:pPr>
        <w:spacing w:before="60" w:after="80"/>
      </w:pPr>
      <w:r>
        <w:t>Don't accept vague praise. A useful testimonial answers one of these three questions:</w:t>
      </w:r>
    </w:p>
    <w:p w14:paraId="44416A95" w14:textId="77777777" w:rsidR="00D2283B" w:rsidRDefault="00EA02D1">
      <w:pPr>
        <w:pStyle w:val="ListParagraph"/>
        <w:numPr>
          <w:ilvl w:val="0"/>
          <w:numId w:val="2"/>
        </w:numPr>
        <w:spacing w:before="40" w:after="60"/>
      </w:pPr>
      <w:r>
        <w:t>What was the situation before the engagement? (establishes credibility of the problem)</w:t>
      </w:r>
    </w:p>
    <w:p w14:paraId="1CA2B91D" w14:textId="77777777" w:rsidR="00D2283B" w:rsidRDefault="00EA02D1">
      <w:pPr>
        <w:pStyle w:val="ListParagraph"/>
        <w:numPr>
          <w:ilvl w:val="0"/>
          <w:numId w:val="2"/>
        </w:numPr>
        <w:spacing w:before="40" w:after="60"/>
      </w:pPr>
      <w:r>
        <w:t>What specifically changed as a result of the work? (establishes credibility of the solution)</w:t>
      </w:r>
    </w:p>
    <w:p w14:paraId="29A43EFD" w14:textId="77777777" w:rsidR="00D2283B" w:rsidRDefault="00EA02D1">
      <w:pPr>
        <w:pStyle w:val="ListParagraph"/>
        <w:numPr>
          <w:ilvl w:val="0"/>
          <w:numId w:val="2"/>
        </w:numPr>
        <w:spacing w:before="40" w:after="60"/>
      </w:pPr>
      <w:r>
        <w:t>What would you say to another business considering this kind of engagement? (removes objection for the next buyer)</w:t>
      </w:r>
    </w:p>
    <w:p w14:paraId="1D114542" w14:textId="77777777" w:rsidR="00D2283B" w:rsidRDefault="00D2283B">
      <w:pPr>
        <w:spacing w:after="60"/>
      </w:pPr>
    </w:p>
    <w:p w14:paraId="3A9AA42F" w14:textId="77777777" w:rsidR="00D2283B" w:rsidRDefault="00EA02D1">
      <w:pPr>
        <w:spacing w:before="60" w:after="80"/>
      </w:pPr>
      <w:r>
        <w:t>A bad testimonial: "Great to work with, very knowledgeable, highly recommend."</w:t>
      </w:r>
    </w:p>
    <w:p w14:paraId="5999632F" w14:textId="77777777" w:rsidR="00D2283B" w:rsidRDefault="00EA02D1">
      <w:pPr>
        <w:spacing w:before="60" w:after="80"/>
      </w:pPr>
      <w:r>
        <w:t>A good testimonial: "Our partner revenue had been declining for two years and we couldn't identify why. Within 30 days of engaging [your name], we had a joint plan, an active pipeline, and a partner relationship that felt genuinely collaborative again. Two years later we're at three times the revenue we started with."</w:t>
      </w:r>
    </w:p>
    <w:p w14:paraId="6C7EE02F" w14:textId="77777777" w:rsidR="00D2283B" w:rsidRDefault="00D2283B">
      <w:pPr>
        <w:spacing w:after="80"/>
      </w:pPr>
    </w:p>
    <w:p w14:paraId="5A6B4A4F" w14:textId="77777777" w:rsidR="00D2283B" w:rsidRDefault="00EA02D1">
      <w:pPr>
        <w:pStyle w:val="Heading2"/>
        <w:pBdr>
          <w:left w:val="single" w:sz="14" w:space="8" w:color="0D7377"/>
        </w:pBdr>
        <w:ind w:left="160"/>
      </w:pPr>
      <w:r>
        <w:t>If They Won't Give a Public Testimonial</w:t>
      </w:r>
    </w:p>
    <w:p w14:paraId="610E8D71" w14:textId="77777777" w:rsidR="00D2283B" w:rsidRDefault="00EA02D1">
      <w:pPr>
        <w:spacing w:before="60" w:after="80"/>
      </w:pPr>
      <w:r>
        <w:t>That's fine — and common. Ask instead for:</w:t>
      </w:r>
    </w:p>
    <w:p w14:paraId="0655129A" w14:textId="77777777" w:rsidR="00D2283B" w:rsidRDefault="00EA02D1">
      <w:pPr>
        <w:pStyle w:val="ListParagraph"/>
        <w:numPr>
          <w:ilvl w:val="0"/>
          <w:numId w:val="2"/>
        </w:numPr>
        <w:spacing w:before="40" w:after="60"/>
      </w:pPr>
      <w:r>
        <w:rPr>
          <w:b/>
          <w:bCs/>
          <w:color w:val="1B2A4A"/>
        </w:rPr>
        <w:t xml:space="preserve">Reference call permission: </w:t>
      </w:r>
      <w:r>
        <w:t>"Would you be willing to take a 15-minute call with a prospect of mine if I get to that stage?" Most people will say yes to this even when they won't give a written quote.</w:t>
      </w:r>
    </w:p>
    <w:p w14:paraId="08B75CAA" w14:textId="77777777" w:rsidR="00D2283B" w:rsidRDefault="00EA02D1">
      <w:pPr>
        <w:pStyle w:val="ListParagraph"/>
        <w:numPr>
          <w:ilvl w:val="0"/>
          <w:numId w:val="2"/>
        </w:numPr>
        <w:spacing w:before="40" w:after="60"/>
      </w:pPr>
      <w:r>
        <w:rPr>
          <w:b/>
          <w:bCs/>
          <w:color w:val="1B2A4A"/>
        </w:rPr>
        <w:t xml:space="preserve">LinkedIn recommendation: </w:t>
      </w:r>
      <w:r>
        <w:t>Lower barrier. Ask them to write something on your LinkedIn profile. This is public social proof you control.</w:t>
      </w:r>
    </w:p>
    <w:p w14:paraId="7D6A9A81" w14:textId="77777777" w:rsidR="00D2283B" w:rsidRDefault="00EA02D1">
      <w:pPr>
        <w:pStyle w:val="ListParagraph"/>
        <w:numPr>
          <w:ilvl w:val="0"/>
          <w:numId w:val="2"/>
        </w:numPr>
        <w:spacing w:before="40" w:after="60"/>
      </w:pPr>
      <w:r>
        <w:rPr>
          <w:b/>
          <w:bCs/>
          <w:color w:val="1B2A4A"/>
        </w:rPr>
        <w:t xml:space="preserve">Use the numbers without the name: </w:t>
      </w:r>
      <w:r>
        <w:t>"A technology distribution partner with $3M in declining revenue reached $9M in 24 months." The specificity makes it credible even without the name.</w:t>
      </w:r>
    </w:p>
    <w:p w14:paraId="7DB64244" w14:textId="77777777" w:rsidR="00D2283B" w:rsidRDefault="00D2283B">
      <w:pPr>
        <w:spacing w:after="100"/>
      </w:pPr>
    </w:p>
    <w:p w14:paraId="54193133" w14:textId="77777777" w:rsidR="00D2283B" w:rsidRDefault="00D2283B">
      <w:pPr>
        <w:pBdr>
          <w:bottom w:val="single" w:sz="6" w:space="1" w:color="0D7377"/>
        </w:pBdr>
        <w:spacing w:before="120" w:after="120"/>
      </w:pPr>
    </w:p>
    <w:p w14:paraId="65814D2A" w14:textId="77777777" w:rsidR="00D2283B" w:rsidRDefault="00D2283B">
      <w:pPr>
        <w:spacing w:after="80"/>
      </w:pPr>
    </w:p>
    <w:p w14:paraId="2C7A23B8" w14:textId="7BA80A88" w:rsidR="00D2283B" w:rsidRDefault="00EA02D1">
      <w:pPr>
        <w:jc w:val="center"/>
      </w:pPr>
      <w:r>
        <w:rPr>
          <w:i/>
          <w:iCs/>
          <w:color w:val="888888"/>
          <w:sz w:val="18"/>
          <w:szCs w:val="18"/>
        </w:rPr>
        <w:t xml:space="preserve">Partner Velocity </w:t>
      </w:r>
      <w:proofErr w:type="gramStart"/>
      <w:r>
        <w:rPr>
          <w:i/>
          <w:iCs/>
          <w:color w:val="888888"/>
          <w:sz w:val="18"/>
          <w:szCs w:val="18"/>
        </w:rPr>
        <w:t xml:space="preserve">- </w:t>
      </w:r>
      <w:r>
        <w:rPr>
          <w:i/>
          <w:iCs/>
          <w:color w:val="888888"/>
          <w:sz w:val="18"/>
          <w:szCs w:val="18"/>
        </w:rPr>
        <w:t xml:space="preserve"> Channel</w:t>
      </w:r>
      <w:proofErr w:type="gramEnd"/>
      <w:r>
        <w:rPr>
          <w:i/>
          <w:iCs/>
          <w:color w:val="888888"/>
          <w:sz w:val="18"/>
          <w:szCs w:val="18"/>
        </w:rPr>
        <w:t xml:space="preserve"> Ecosystem </w:t>
      </w:r>
      <w:proofErr w:type="gramStart"/>
      <w:r>
        <w:rPr>
          <w:i/>
          <w:iCs/>
          <w:color w:val="888888"/>
          <w:sz w:val="18"/>
          <w:szCs w:val="18"/>
        </w:rPr>
        <w:t>Consultancy  ·</w:t>
      </w:r>
      <w:proofErr w:type="gramEnd"/>
      <w:r>
        <w:rPr>
          <w:i/>
          <w:iCs/>
          <w:color w:val="888888"/>
          <w:sz w:val="18"/>
          <w:szCs w:val="18"/>
        </w:rPr>
        <w:t xml:space="preserve">  Proof of </w:t>
      </w:r>
      <w:proofErr w:type="gramStart"/>
      <w:r>
        <w:rPr>
          <w:i/>
          <w:iCs/>
          <w:color w:val="888888"/>
          <w:sz w:val="18"/>
          <w:szCs w:val="18"/>
        </w:rPr>
        <w:t>Work  ·</w:t>
      </w:r>
      <w:proofErr w:type="gramEnd"/>
      <w:r>
        <w:rPr>
          <w:i/>
          <w:iCs/>
          <w:color w:val="888888"/>
          <w:sz w:val="18"/>
          <w:szCs w:val="18"/>
        </w:rPr>
        <w:t xml:space="preserve">  Confidential</w:t>
      </w:r>
    </w:p>
    <w:sectPr w:rsidR="00D2283B">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C80"/>
    <w:multiLevelType w:val="hybridMultilevel"/>
    <w:tmpl w:val="CFF69A24"/>
    <w:lvl w:ilvl="0" w:tplc="EEBE98D4">
      <w:start w:val="1"/>
      <w:numFmt w:val="bullet"/>
      <w:lvlText w:val="●"/>
      <w:lvlJc w:val="left"/>
      <w:pPr>
        <w:ind w:left="720" w:hanging="360"/>
      </w:pPr>
    </w:lvl>
    <w:lvl w:ilvl="1" w:tplc="7894605A">
      <w:start w:val="1"/>
      <w:numFmt w:val="bullet"/>
      <w:lvlText w:val="○"/>
      <w:lvlJc w:val="left"/>
      <w:pPr>
        <w:ind w:left="1440" w:hanging="360"/>
      </w:pPr>
    </w:lvl>
    <w:lvl w:ilvl="2" w:tplc="F4D63AE8">
      <w:start w:val="1"/>
      <w:numFmt w:val="bullet"/>
      <w:lvlText w:val="■"/>
      <w:lvlJc w:val="left"/>
      <w:pPr>
        <w:ind w:left="2160" w:hanging="360"/>
      </w:pPr>
    </w:lvl>
    <w:lvl w:ilvl="3" w:tplc="4B36ECCC">
      <w:start w:val="1"/>
      <w:numFmt w:val="bullet"/>
      <w:lvlText w:val="●"/>
      <w:lvlJc w:val="left"/>
      <w:pPr>
        <w:ind w:left="2880" w:hanging="360"/>
      </w:pPr>
    </w:lvl>
    <w:lvl w:ilvl="4" w:tplc="D0B41D98">
      <w:start w:val="1"/>
      <w:numFmt w:val="bullet"/>
      <w:lvlText w:val="○"/>
      <w:lvlJc w:val="left"/>
      <w:pPr>
        <w:ind w:left="3600" w:hanging="360"/>
      </w:pPr>
    </w:lvl>
    <w:lvl w:ilvl="5" w:tplc="D5083B70">
      <w:start w:val="1"/>
      <w:numFmt w:val="bullet"/>
      <w:lvlText w:val="■"/>
      <w:lvlJc w:val="left"/>
      <w:pPr>
        <w:ind w:left="4320" w:hanging="360"/>
      </w:pPr>
    </w:lvl>
    <w:lvl w:ilvl="6" w:tplc="96B4F7A0">
      <w:start w:val="1"/>
      <w:numFmt w:val="bullet"/>
      <w:lvlText w:val="●"/>
      <w:lvlJc w:val="left"/>
      <w:pPr>
        <w:ind w:left="5040" w:hanging="360"/>
      </w:pPr>
    </w:lvl>
    <w:lvl w:ilvl="7" w:tplc="60CE2E58">
      <w:start w:val="1"/>
      <w:numFmt w:val="bullet"/>
      <w:lvlText w:val="●"/>
      <w:lvlJc w:val="left"/>
      <w:pPr>
        <w:ind w:left="5760" w:hanging="360"/>
      </w:pPr>
    </w:lvl>
    <w:lvl w:ilvl="8" w:tplc="3FE47920">
      <w:start w:val="1"/>
      <w:numFmt w:val="bullet"/>
      <w:lvlText w:val="●"/>
      <w:lvlJc w:val="left"/>
      <w:pPr>
        <w:ind w:left="6480" w:hanging="360"/>
      </w:pPr>
    </w:lvl>
  </w:abstractNum>
  <w:abstractNum w:abstractNumId="1" w15:restartNumberingAfterBreak="0">
    <w:nsid w:val="0D331174"/>
    <w:multiLevelType w:val="hybridMultilevel"/>
    <w:tmpl w:val="74E29798"/>
    <w:lvl w:ilvl="0" w:tplc="47AAC424">
      <w:start w:val="1"/>
      <w:numFmt w:val="bullet"/>
      <w:lvlText w:val="•"/>
      <w:lvlJc w:val="left"/>
      <w:pPr>
        <w:ind w:left="560" w:hanging="280"/>
      </w:pPr>
    </w:lvl>
    <w:lvl w:ilvl="1" w:tplc="18605AF6">
      <w:start w:val="1"/>
      <w:numFmt w:val="bullet"/>
      <w:lvlText w:val="◦"/>
      <w:lvlJc w:val="left"/>
      <w:pPr>
        <w:ind w:left="900" w:hanging="280"/>
      </w:pPr>
    </w:lvl>
    <w:lvl w:ilvl="2" w:tplc="1EB2F1B2">
      <w:numFmt w:val="decimal"/>
      <w:lvlText w:val=""/>
      <w:lvlJc w:val="left"/>
    </w:lvl>
    <w:lvl w:ilvl="3" w:tplc="E0E2C6F4">
      <w:numFmt w:val="decimal"/>
      <w:lvlText w:val=""/>
      <w:lvlJc w:val="left"/>
    </w:lvl>
    <w:lvl w:ilvl="4" w:tplc="101690AE">
      <w:numFmt w:val="decimal"/>
      <w:lvlText w:val=""/>
      <w:lvlJc w:val="left"/>
    </w:lvl>
    <w:lvl w:ilvl="5" w:tplc="023C0ED0">
      <w:numFmt w:val="decimal"/>
      <w:lvlText w:val=""/>
      <w:lvlJc w:val="left"/>
    </w:lvl>
    <w:lvl w:ilvl="6" w:tplc="C4C8B9CE">
      <w:numFmt w:val="decimal"/>
      <w:lvlText w:val=""/>
      <w:lvlJc w:val="left"/>
    </w:lvl>
    <w:lvl w:ilvl="7" w:tplc="B55294DE">
      <w:numFmt w:val="decimal"/>
      <w:lvlText w:val=""/>
      <w:lvlJc w:val="left"/>
    </w:lvl>
    <w:lvl w:ilvl="8" w:tplc="A1F24FD4">
      <w:numFmt w:val="decimal"/>
      <w:lvlText w:val=""/>
      <w:lvlJc w:val="left"/>
    </w:lvl>
  </w:abstractNum>
  <w:num w:numId="1" w16cid:durableId="1726874359">
    <w:abstractNumId w:val="0"/>
    <w:lvlOverride w:ilvl="0">
      <w:startOverride w:val="1"/>
    </w:lvlOverride>
  </w:num>
  <w:num w:numId="2" w16cid:durableId="11706089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3B"/>
    <w:rsid w:val="00D2283B"/>
    <w:rsid w:val="00D659E1"/>
    <w:rsid w:val="00EA0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08C9"/>
  <w15:docId w15:val="{BA47A473-1240-4123-9FE5-DDE1E51A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color w:val="FFFFFF"/>
      <w:sz w:val="32"/>
      <w:szCs w:val="32"/>
    </w:rPr>
  </w:style>
  <w:style w:type="paragraph" w:styleId="Heading2">
    <w:name w:val="heading 2"/>
    <w:uiPriority w:val="9"/>
    <w:unhideWhenUsed/>
    <w:qFormat/>
    <w:pPr>
      <w:spacing w:before="240" w:after="80"/>
      <w:outlineLvl w:val="1"/>
    </w:pPr>
    <w:rPr>
      <w:b/>
      <w:bCs/>
      <w:color w:val="1B2A4A"/>
      <w:sz w:val="26"/>
      <w:szCs w:val="26"/>
    </w:rPr>
  </w:style>
  <w:style w:type="paragraph" w:styleId="Heading3">
    <w:name w:val="heading 3"/>
    <w:uiPriority w:val="9"/>
    <w:semiHidden/>
    <w:unhideWhenUsed/>
    <w:qFormat/>
    <w:pPr>
      <w:spacing w:before="160" w:after="60"/>
      <w:outlineLvl w:val="2"/>
    </w:pPr>
    <w:rPr>
      <w:b/>
      <w:bCs/>
      <w:color w:val="0D7377"/>
      <w:sz w:val="21"/>
      <w:szCs w:val="21"/>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2188</Words>
  <Characters>12474</Characters>
  <Application>Microsoft Office Word</Application>
  <DocSecurity>0</DocSecurity>
  <Lines>103</Lines>
  <Paragraphs>29</Paragraphs>
  <ScaleCrop>false</ScaleCrop>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Stephanie Hobley-Lloyd</cp:lastModifiedBy>
  <cp:revision>2</cp:revision>
  <dcterms:created xsi:type="dcterms:W3CDTF">2026-04-10T13:22:00Z</dcterms:created>
  <dcterms:modified xsi:type="dcterms:W3CDTF">2026-04-10T13:22:00Z</dcterms:modified>
</cp:coreProperties>
</file>